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UNITED STATES</w:t>
      </w:r>
    </w:p>
    <w:p>
      <w:pPr>
        <w:spacing w:after="0" w:line="139"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SECURITIES AND EXCHANGE COMMISSION</w:t>
      </w:r>
    </w:p>
    <w:p>
      <w:pPr>
        <w:spacing w:after="0" w:line="85"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175260</wp:posOffset>
            </wp:positionV>
            <wp:extent cx="5023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234950</wp:posOffset>
            </wp:positionV>
            <wp:extent cx="502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300" w:hanging="24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3" w:lineRule="exact"/>
        <w:rPr>
          <w:sz w:val="24"/>
          <w:szCs w:val="24"/>
          <w:color w:val="auto"/>
        </w:rPr>
      </w:pPr>
    </w:p>
    <w:p>
      <w:pPr>
        <w:ind w:left="320"/>
        <w:spacing w:after="0"/>
        <w:rPr>
          <w:sz w:val="20"/>
          <w:szCs w:val="20"/>
          <w:color w:val="auto"/>
        </w:rPr>
      </w:pPr>
      <w:r>
        <w:rPr>
          <w:rFonts w:ascii="Arial" w:cs="Arial" w:eastAsia="Arial" w:hAnsi="Arial"/>
          <w:sz w:val="14"/>
          <w:szCs w:val="14"/>
          <w:color w:val="auto"/>
        </w:rPr>
        <w:t>For the quarterly period ended September 30, 2026</w:t>
      </w:r>
    </w:p>
    <w:p>
      <w:pPr>
        <w:spacing w:after="0" w:line="5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OR</w:t>
      </w:r>
    </w:p>
    <w:p>
      <w:pPr>
        <w:spacing w:after="0" w:line="109" w:lineRule="exact"/>
        <w:rPr>
          <w:sz w:val="24"/>
          <w:szCs w:val="24"/>
          <w:color w:val="auto"/>
        </w:rPr>
      </w:pPr>
    </w:p>
    <w:p>
      <w:pPr>
        <w:ind w:left="320" w:right="3360" w:hanging="267"/>
        <w:spacing w:after="0" w:line="412"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177800</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20"/>
        <w:spacing w:after="0"/>
        <w:rPr>
          <w:sz w:val="20"/>
          <w:szCs w:val="20"/>
          <w:color w:val="auto"/>
        </w:rPr>
      </w:pPr>
      <w:r>
        <w:rPr>
          <w:rFonts w:ascii="Arial" w:cs="Arial" w:eastAsia="Arial" w:hAnsi="Arial"/>
          <w:sz w:val="29"/>
          <w:szCs w:val="29"/>
          <w:b w:val="1"/>
          <w:bCs w:val="1"/>
          <w:color w:val="auto"/>
        </w:rPr>
        <w:t>Talen Energy Corporation</w:t>
      </w:r>
    </w:p>
    <w:p>
      <w:pPr>
        <w:spacing w:after="0" w:line="16"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220345</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520" w:type="dxa"/>
        <w:tblCellMar>
          <w:top w:w="0" w:type="dxa"/>
          <w:left w:w="0" w:type="dxa"/>
          <w:bottom w:w="0" w:type="dxa"/>
          <w:right w:w="0" w:type="dxa"/>
        </w:tblCellMar>
      </w:tblPr>
      <w:tr>
        <w:trPr>
          <w:trHeight w:val="196"/>
        </w:trPr>
        <w:tc>
          <w:tcPr>
            <w:tcW w:w="5700" w:type="dxa"/>
            <w:vAlign w:val="bottom"/>
          </w:tcPr>
          <w:p>
            <w:pPr>
              <w:jc w:val="right"/>
              <w:ind w:right="3853"/>
              <w:spacing w:after="0"/>
              <w:rPr>
                <w:sz w:val="20"/>
                <w:szCs w:val="20"/>
                <w:color w:val="auto"/>
              </w:rPr>
            </w:pPr>
            <w:r>
              <w:rPr>
                <w:rFonts w:ascii="Arial" w:cs="Arial" w:eastAsia="Arial" w:hAnsi="Arial"/>
                <w:sz w:val="14"/>
                <w:szCs w:val="14"/>
                <w:b w:val="1"/>
                <w:bCs w:val="1"/>
                <w:color w:val="auto"/>
              </w:rPr>
              <w:t>Delaware</w:t>
            </w:r>
          </w:p>
        </w:tc>
        <w:tc>
          <w:tcPr>
            <w:tcW w:w="1960" w:type="dxa"/>
            <w:vAlign w:val="bottom"/>
          </w:tcPr>
          <w:p>
            <w:pPr>
              <w:jc w:val="right"/>
              <w:ind w:right="613"/>
              <w:spacing w:after="0"/>
              <w:rPr>
                <w:sz w:val="20"/>
                <w:szCs w:val="20"/>
                <w:color w:val="auto"/>
              </w:rPr>
            </w:pPr>
            <w:r>
              <w:rPr>
                <w:rFonts w:ascii="Arial" w:cs="Arial" w:eastAsia="Arial" w:hAnsi="Arial"/>
                <w:sz w:val="14"/>
                <w:szCs w:val="14"/>
                <w:b w:val="1"/>
                <w:bCs w:val="1"/>
                <w:color w:val="auto"/>
              </w:rPr>
              <w:t>47-1197305</w:t>
            </w:r>
          </w:p>
        </w:tc>
        <w:tc>
          <w:tcPr>
            <w:tcW w:w="0" w:type="dxa"/>
            <w:vAlign w:val="bottom"/>
          </w:tcPr>
          <w:p>
            <w:pPr>
              <w:spacing w:after="0"/>
              <w:rPr>
                <w:sz w:val="1"/>
                <w:szCs w:val="1"/>
                <w:color w:val="auto"/>
              </w:rPr>
            </w:pPr>
          </w:p>
        </w:tc>
      </w:tr>
      <w:tr>
        <w:trPr>
          <w:trHeight w:val="177"/>
        </w:trPr>
        <w:tc>
          <w:tcPr>
            <w:tcW w:w="5700" w:type="dxa"/>
            <w:vAlign w:val="bottom"/>
          </w:tcPr>
          <w:p>
            <w:pPr>
              <w:jc w:val="right"/>
              <w:ind w:right="2373"/>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1960" w:type="dxa"/>
            <w:vAlign w:val="bottom"/>
            <w:vMerge w:val="restart"/>
          </w:tcPr>
          <w:p>
            <w:pPr>
              <w:jc w:val="right"/>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8"/>
        </w:trPr>
        <w:tc>
          <w:tcPr>
            <w:tcW w:w="5700" w:type="dxa"/>
            <w:vAlign w:val="bottom"/>
          </w:tcPr>
          <w:p>
            <w:pPr>
              <w:jc w:val="center"/>
              <w:ind w:left="2093"/>
              <w:spacing w:after="0"/>
              <w:rPr>
                <w:sz w:val="20"/>
                <w:szCs w:val="20"/>
                <w:color w:val="auto"/>
              </w:rPr>
            </w:pPr>
            <w:r>
              <w:rPr>
                <w:rFonts w:ascii="Arial" w:cs="Arial" w:eastAsia="Arial" w:hAnsi="Arial"/>
                <w:sz w:val="14"/>
                <w:szCs w:val="14"/>
                <w:b w:val="1"/>
                <w:bCs w:val="1"/>
                <w:color w:val="auto"/>
              </w:rPr>
              <w:t>2929 Allen Pkwy, Suite 2200, Houston, TX 77019</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700" w:type="dxa"/>
            <w:vAlign w:val="bottom"/>
          </w:tcPr>
          <w:p>
            <w:pPr>
              <w:jc w:val="center"/>
              <w:ind w:left="2093"/>
              <w:spacing w:after="0"/>
              <w:rPr>
                <w:sz w:val="20"/>
                <w:szCs w:val="20"/>
                <w:color w:val="auto"/>
              </w:rPr>
            </w:pPr>
            <w:r>
              <w:rPr>
                <w:rFonts w:ascii="Arial" w:cs="Arial" w:eastAsia="Arial" w:hAnsi="Arial"/>
                <w:sz w:val="13"/>
                <w:szCs w:val="13"/>
                <w:color w:val="auto"/>
                <w:w w:val="96"/>
              </w:rPr>
              <w:t>(Address of principal executive offices) (Zip Code)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700" w:type="dxa"/>
            <w:vAlign w:val="bottom"/>
          </w:tcPr>
          <w:p>
            <w:pPr>
              <w:jc w:val="right"/>
              <w:ind w:right="1053"/>
              <w:spacing w:after="0"/>
              <w:rPr>
                <w:sz w:val="20"/>
                <w:szCs w:val="20"/>
                <w:color w:val="auto"/>
              </w:rPr>
            </w:pPr>
            <w:r>
              <w:rPr>
                <w:rFonts w:ascii="Arial" w:cs="Arial" w:eastAsia="Arial" w:hAnsi="Arial"/>
                <w:sz w:val="14"/>
                <w:szCs w:val="14"/>
                <w:b w:val="1"/>
                <w:bCs w:val="1"/>
                <w:color w:val="auto"/>
              </w:rPr>
              <w:t>(888) 211-6011</w:t>
            </w: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5700" w:type="dxa"/>
            <w:vAlign w:val="bottom"/>
          </w:tcPr>
          <w:p>
            <w:pPr>
              <w:jc w:val="center"/>
              <w:ind w:left="2073"/>
              <w:spacing w:after="0"/>
              <w:rPr>
                <w:sz w:val="20"/>
                <w:szCs w:val="20"/>
                <w:color w:val="auto"/>
              </w:rPr>
            </w:pPr>
            <w:r>
              <w:rPr>
                <w:rFonts w:ascii="Arial" w:cs="Arial" w:eastAsia="Arial" w:hAnsi="Arial"/>
                <w:sz w:val="13"/>
                <w:szCs w:val="13"/>
                <w:color w:val="auto"/>
                <w:w w:val="96"/>
              </w:rPr>
              <w:t>(Registrant’s telephone number, including area code)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Not applicable</w:t>
      </w:r>
    </w:p>
    <w:p>
      <w:pPr>
        <w:jc w:val="center"/>
        <w:ind w:right="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268605</wp:posOffset>
            </wp:positionV>
            <wp:extent cx="502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66" w:lineRule="exact"/>
        <w:rPr>
          <w:sz w:val="24"/>
          <w:szCs w:val="24"/>
          <w:color w:val="auto"/>
        </w:rPr>
      </w:pPr>
    </w:p>
    <w:tbl>
      <w:tblPr>
        <w:tblLayout w:type="fixed"/>
        <w:tblInd w:w="80" w:type="dxa"/>
        <w:tblCellMar>
          <w:top w:w="0" w:type="dxa"/>
          <w:left w:w="0" w:type="dxa"/>
          <w:bottom w:w="0" w:type="dxa"/>
          <w:right w:w="0" w:type="dxa"/>
        </w:tblCellMar>
      </w:tblPr>
      <w:tr>
        <w:trPr>
          <w:trHeight w:val="197"/>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80" w:type="dxa"/>
            <w:vAlign w:val="bottom"/>
            <w:gridSpan w:val="2"/>
          </w:tcPr>
          <w:p>
            <w:pPr>
              <w:jc w:val="center"/>
              <w:ind w:right="160"/>
              <w:spacing w:after="0"/>
              <w:rPr>
                <w:sz w:val="20"/>
                <w:szCs w:val="20"/>
                <w:color w:val="auto"/>
              </w:rPr>
            </w:pPr>
            <w:r>
              <w:rPr>
                <w:rFonts w:ascii="Arial" w:cs="Arial" w:eastAsia="Arial" w:hAnsi="Arial"/>
                <w:sz w:val="14"/>
                <w:szCs w:val="14"/>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TLN</w:t>
            </w:r>
          </w:p>
        </w:tc>
        <w:tc>
          <w:tcPr>
            <w:tcW w:w="420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242"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58" w:lineRule="exact"/>
        <w:rPr>
          <w:sz w:val="24"/>
          <w:szCs w:val="24"/>
          <w:color w:val="auto"/>
        </w:rPr>
      </w:pPr>
    </w:p>
    <w:p>
      <w:pPr>
        <w:ind w:left="20"/>
        <w:spacing w:after="0" w:line="161" w:lineRule="exact"/>
        <w:tabs>
          <w:tab w:leader="none" w:pos="2140" w:val="left"/>
          <w:tab w:leader="none" w:pos="3860" w:val="left"/>
          <w:tab w:leader="none" w:pos="5840" w:val="left"/>
          <w:tab w:leader="none" w:pos="8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89" w:lineRule="exact"/>
        <w:rPr>
          <w:sz w:val="24"/>
          <w:szCs w:val="24"/>
          <w:color w:val="auto"/>
        </w:rPr>
      </w:pPr>
    </w:p>
    <w:p>
      <w:pPr>
        <w:ind w:right="6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7"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3, 2026, the registrant had outstanding 43,505,312 shares of common stock, par value $0.001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585470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44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60"/>
              <w:spacing w:after="0"/>
              <w:rPr>
                <w:sz w:val="20"/>
                <w:szCs w:val="20"/>
                <w:color w:val="auto"/>
              </w:rPr>
            </w:pPr>
            <w:r>
              <w:rPr>
                <w:rFonts w:ascii="Arial" w:cs="Arial" w:eastAsia="Arial" w:hAnsi="Arial"/>
                <w:sz w:val="14"/>
                <w:szCs w:val="14"/>
                <w:color w:val="auto"/>
              </w:rPr>
              <w:t>Page</w:t>
            </w:r>
          </w:p>
        </w:tc>
      </w:tr>
      <w:tr>
        <w:trPr>
          <w:trHeight w:val="159"/>
        </w:trPr>
        <w:tc>
          <w:tcPr>
            <w:tcW w:w="260" w:type="dxa"/>
            <w:vAlign w:val="bottom"/>
          </w:tcPr>
          <w:p>
            <w:pPr>
              <w:spacing w:after="0"/>
              <w:rPr>
                <w:sz w:val="13"/>
                <w:szCs w:val="13"/>
                <w:color w:val="auto"/>
              </w:rPr>
            </w:pPr>
          </w:p>
        </w:tc>
        <w:tc>
          <w:tcPr>
            <w:tcW w:w="4840" w:type="dxa"/>
            <w:vAlign w:val="bottom"/>
            <w:tcBorders>
              <w:top w:val="single" w:sz="8" w:color="auto"/>
            </w:tcBorders>
            <w:gridSpan w:val="28"/>
          </w:tcPr>
          <w:p>
            <w:pPr>
              <w:spacing w:after="0" w:line="159" w:lineRule="exact"/>
              <w:rPr>
                <w:sz w:val="20"/>
                <w:szCs w:val="20"/>
                <w:color w:val="auto"/>
              </w:rPr>
            </w:pPr>
            <w:r>
              <w:rPr>
                <w:rFonts w:ascii="Arial" w:cs="Arial" w:eastAsia="Arial" w:hAnsi="Arial"/>
                <w:sz w:val="14"/>
                <w:szCs w:val="14"/>
                <w:color w:val="0000FF"/>
              </w:rPr>
              <w:t>CAUTIONARY NOTE REGARDING FORWARD-LOOKING INFORMATION</w:t>
            </w:r>
          </w:p>
        </w:tc>
        <w:tc>
          <w:tcPr>
            <w:tcW w:w="4300" w:type="dxa"/>
            <w:vAlign w:val="bottom"/>
            <w:tcBorders>
              <w:top w:val="single" w:sz="8" w:color="auto"/>
            </w:tcBorders>
            <w:gridSpan w:val="4"/>
          </w:tcPr>
          <w:p>
            <w:pPr>
              <w:spacing w:after="0"/>
              <w:rPr>
                <w:sz w:val="13"/>
                <w:szCs w:val="13"/>
                <w:color w:val="auto"/>
              </w:rPr>
            </w:pPr>
          </w:p>
        </w:tc>
        <w:tc>
          <w:tcPr>
            <w:tcW w:w="1260" w:type="dxa"/>
            <w:vAlign w:val="bottom"/>
            <w:tcBorders>
              <w:top w:val="single" w:sz="8" w:color="auto"/>
            </w:tcBorders>
            <w:gridSpan w:val="2"/>
          </w:tcPr>
          <w:p>
            <w:pPr>
              <w:jc w:val="center"/>
              <w:ind w:left="1108"/>
              <w:spacing w:after="0" w:line="159" w:lineRule="exact"/>
              <w:rPr>
                <w:sz w:val="20"/>
                <w:szCs w:val="20"/>
                <w:color w:val="auto"/>
              </w:rPr>
            </w:pPr>
            <w:r>
              <w:rPr>
                <w:rFonts w:ascii="Arial" w:cs="Arial" w:eastAsia="Arial" w:hAnsi="Arial"/>
                <w:sz w:val="14"/>
                <w:szCs w:val="14"/>
                <w:color w:val="0000FF"/>
              </w:rPr>
              <w:t>1</w:t>
            </w: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4840" w:type="dxa"/>
            <w:vAlign w:val="bottom"/>
            <w:gridSpan w:val="28"/>
          </w:tcPr>
          <w:p>
            <w:pPr>
              <w:spacing w:after="0"/>
              <w:rPr>
                <w:sz w:val="20"/>
                <w:szCs w:val="20"/>
                <w:color w:val="auto"/>
              </w:rPr>
            </w:pPr>
            <w:r>
              <w:rPr>
                <w:rFonts w:ascii="Arial" w:cs="Arial" w:eastAsia="Arial" w:hAnsi="Arial"/>
                <w:sz w:val="14"/>
                <w:szCs w:val="14"/>
                <w:color w:val="0000FF"/>
              </w:rPr>
              <w:t>MARKET AND INDUSTRY DATA</w:t>
            </w:r>
          </w:p>
        </w:tc>
        <w:tc>
          <w:tcPr>
            <w:tcW w:w="4300" w:type="dxa"/>
            <w:vAlign w:val="bottom"/>
            <w:gridSpan w:val="4"/>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2"/>
          </w:tcPr>
          <w:p>
            <w:pPr>
              <w:spacing w:after="0"/>
              <w:rPr>
                <w:sz w:val="20"/>
                <w:szCs w:val="20"/>
                <w:color w:val="auto"/>
              </w:rPr>
            </w:pPr>
            <w:r>
              <w:rPr>
                <w:rFonts w:ascii="Arial" w:cs="Arial" w:eastAsia="Arial" w:hAnsi="Arial"/>
                <w:sz w:val="14"/>
                <w:szCs w:val="14"/>
                <w:color w:val="0000FF"/>
              </w:rPr>
              <w:t>PART I. FINANCIAL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1"/>
          </w:tcPr>
          <w:p>
            <w:pPr>
              <w:spacing w:after="0"/>
              <w:rPr>
                <w:sz w:val="20"/>
                <w:szCs w:val="20"/>
                <w:color w:val="auto"/>
              </w:rPr>
            </w:pPr>
            <w:r>
              <w:rPr>
                <w:rFonts w:ascii="Arial" w:cs="Arial" w:eastAsia="Arial" w:hAnsi="Arial"/>
                <w:sz w:val="14"/>
                <w:szCs w:val="14"/>
                <w:color w:val="0000FF"/>
              </w:rPr>
              <w:t>ITEM 1. FINANCIAL STATEMENTS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Condensed Consolidated Statements of Operations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Condensed Consolidated Statements of Comprehensive Income (Loss)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7"/>
          </w:tcPr>
          <w:p>
            <w:pPr>
              <w:spacing w:after="0"/>
              <w:rPr>
                <w:sz w:val="20"/>
                <w:szCs w:val="20"/>
                <w:color w:val="auto"/>
              </w:rPr>
            </w:pPr>
            <w:r>
              <w:rPr>
                <w:rFonts w:ascii="Arial" w:cs="Arial" w:eastAsia="Arial" w:hAnsi="Arial"/>
                <w:sz w:val="14"/>
                <w:szCs w:val="14"/>
                <w:color w:val="0000FF"/>
              </w:rPr>
              <w:t>Condensed Consolidated Balance Sheets (Unaudited)</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4</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3"/>
          </w:tcPr>
          <w:p>
            <w:pPr>
              <w:spacing w:after="0"/>
              <w:rPr>
                <w:sz w:val="20"/>
                <w:szCs w:val="20"/>
                <w:color w:val="auto"/>
              </w:rPr>
            </w:pPr>
            <w:r>
              <w:rPr>
                <w:rFonts w:ascii="Arial" w:cs="Arial" w:eastAsia="Arial" w:hAnsi="Arial"/>
                <w:sz w:val="14"/>
                <w:szCs w:val="14"/>
                <w:color w:val="0000FF"/>
              </w:rPr>
              <w:t>Condensed Consolidated Statements of Cash Flows (Unaudited)</w:t>
            </w:r>
          </w:p>
        </w:tc>
        <w:tc>
          <w:tcPr>
            <w:tcW w:w="4600" w:type="dxa"/>
            <w:vAlign w:val="bottom"/>
            <w:gridSpan w:val="7"/>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3"/>
          </w:tcPr>
          <w:p>
            <w:pPr>
              <w:spacing w:after="0"/>
              <w:rPr>
                <w:sz w:val="20"/>
                <w:szCs w:val="20"/>
                <w:color w:val="auto"/>
              </w:rPr>
            </w:pPr>
            <w:r>
              <w:rPr>
                <w:rFonts w:ascii="Arial" w:cs="Arial" w:eastAsia="Arial" w:hAnsi="Arial"/>
                <w:sz w:val="14"/>
                <w:szCs w:val="14"/>
                <w:color w:val="0000FF"/>
              </w:rPr>
              <w:t>Condensed Consolidated Statements of Equity (Unaudited)</w:t>
            </w:r>
          </w:p>
        </w:tc>
        <w:tc>
          <w:tcPr>
            <w:tcW w:w="4600" w:type="dxa"/>
            <w:vAlign w:val="bottom"/>
            <w:gridSpan w:val="7"/>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4"/>
                <w:szCs w:val="14"/>
                <w:color w:val="0000FF"/>
              </w:rPr>
              <w:t>Notes to the Interim Financial Statements (Unaudited)</w:t>
            </w:r>
          </w:p>
        </w:tc>
        <w:tc>
          <w:tcPr>
            <w:tcW w:w="320" w:type="dxa"/>
            <w:vAlign w:val="bottom"/>
            <w:tcBorders>
              <w:top w:val="single" w:sz="8" w:color="0000FF"/>
            </w:tcBorders>
          </w:tcPr>
          <w:p>
            <w:pPr>
              <w:spacing w:after="0"/>
              <w:rPr>
                <w:sz w:val="15"/>
                <w:szCs w:val="15"/>
                <w:color w:val="auto"/>
              </w:rPr>
            </w:pPr>
          </w:p>
        </w:tc>
        <w:tc>
          <w:tcPr>
            <w:tcW w:w="4900" w:type="dxa"/>
            <w:vAlign w:val="bottom"/>
            <w:gridSpan w:val="8"/>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7"/>
          </w:tcPr>
          <w:p>
            <w:pPr>
              <w:spacing w:after="0"/>
              <w:rPr>
                <w:sz w:val="20"/>
                <w:szCs w:val="20"/>
                <w:color w:val="auto"/>
              </w:rPr>
            </w:pPr>
            <w:r>
              <w:rPr>
                <w:rFonts w:ascii="Arial" w:cs="Arial" w:eastAsia="Arial" w:hAnsi="Arial"/>
                <w:sz w:val="14"/>
                <w:szCs w:val="14"/>
                <w:color w:val="0000FF"/>
              </w:rPr>
              <w:t>1. Business, Basis of Presentation, and Summary of Significant Accounting Policies</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80" w:type="dxa"/>
            <w:vAlign w:val="bottom"/>
            <w:tcBorders>
              <w:bottom w:val="single" w:sz="8" w:color="0000FF"/>
            </w:tcBorders>
            <w:gridSpan w:val="26"/>
          </w:tcPr>
          <w:p>
            <w:pPr>
              <w:spacing w:after="0"/>
              <w:rPr>
                <w:sz w:val="20"/>
                <w:szCs w:val="20"/>
                <w:color w:val="auto"/>
              </w:rPr>
            </w:pPr>
            <w:r>
              <w:rPr>
                <w:rFonts w:ascii="Arial" w:cs="Arial" w:eastAsia="Arial" w:hAnsi="Arial"/>
                <w:sz w:val="14"/>
                <w:szCs w:val="14"/>
                <w:color w:val="0000FF"/>
              </w:rPr>
              <w:t>2. Risk Management, Derivative Instruments, and Hedging Activities</w:t>
            </w:r>
          </w:p>
        </w:tc>
        <w:tc>
          <w:tcPr>
            <w:tcW w:w="920" w:type="dxa"/>
            <w:vAlign w:val="bottom"/>
          </w:tcPr>
          <w:p>
            <w:pPr>
              <w:spacing w:after="0"/>
              <w:rPr>
                <w:sz w:val="15"/>
                <w:szCs w:val="15"/>
                <w:color w:val="auto"/>
              </w:rPr>
            </w:pP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3. Revenue</w:t>
            </w:r>
          </w:p>
        </w:tc>
        <w:tc>
          <w:tcPr>
            <w:tcW w:w="1260" w:type="dxa"/>
            <w:vAlign w:val="bottom"/>
            <w:gridSpan w:val="2"/>
          </w:tcPr>
          <w:p>
            <w:pPr>
              <w:jc w:val="center"/>
              <w:ind w:left="1028"/>
              <w:spacing w:after="0"/>
              <w:rPr>
                <w:sz w:val="20"/>
                <w:szCs w:val="20"/>
                <w:color w:val="auto"/>
              </w:rPr>
            </w:pPr>
            <w:r>
              <w:rPr>
                <w:rFonts w:ascii="Arial" w:cs="Arial" w:eastAsia="Arial" w:hAnsi="Arial"/>
                <w:sz w:val="14"/>
                <w:szCs w:val="14"/>
                <w:color w:val="0000FF"/>
              </w:rPr>
              <w:t>11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Arial" w:cs="Arial" w:eastAsia="Arial" w:hAnsi="Arial"/>
                <w:sz w:val="14"/>
                <w:szCs w:val="14"/>
                <w:color w:val="0000FF"/>
                <w:w w:val="92"/>
              </w:rPr>
              <w:t>4. Income Taxes</w:t>
            </w:r>
          </w:p>
        </w:tc>
        <w:tc>
          <w:tcPr>
            <w:tcW w:w="7680" w:type="dxa"/>
            <w:vAlign w:val="bottom"/>
            <w:gridSpan w:val="2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0000FF"/>
                <w:w w:val="95"/>
              </w:rPr>
              <w:t>5. Inventory</w:t>
            </w:r>
          </w:p>
        </w:tc>
        <w:tc>
          <w:tcPr>
            <w:tcW w:w="260" w:type="dxa"/>
            <w:vAlign w:val="bottom"/>
            <w:gridSpan w:val="3"/>
          </w:tcPr>
          <w:p>
            <w:pPr>
              <w:spacing w:after="0"/>
              <w:rPr>
                <w:sz w:val="15"/>
                <w:szCs w:val="15"/>
                <w:color w:val="auto"/>
              </w:rPr>
            </w:pPr>
          </w:p>
        </w:tc>
        <w:tc>
          <w:tcPr>
            <w:tcW w:w="7680" w:type="dxa"/>
            <w:vAlign w:val="bottom"/>
            <w:gridSpan w:val="2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6. Nuclear Decommissioning Trust Funds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13"/>
          </w:tcPr>
          <w:p>
            <w:pPr>
              <w:spacing w:after="0"/>
              <w:rPr>
                <w:sz w:val="20"/>
                <w:szCs w:val="20"/>
                <w:color w:val="auto"/>
              </w:rPr>
            </w:pPr>
            <w:r>
              <w:rPr>
                <w:rFonts w:ascii="Arial" w:cs="Arial" w:eastAsia="Arial" w:hAnsi="Arial"/>
                <w:sz w:val="14"/>
                <w:szCs w:val="14"/>
                <w:color w:val="0000FF"/>
              </w:rPr>
              <w:t>7. Property, Plant and Equipment</w:t>
            </w:r>
          </w:p>
        </w:tc>
        <w:tc>
          <w:tcPr>
            <w:tcW w:w="520" w:type="dxa"/>
            <w:vAlign w:val="bottom"/>
            <w:gridSpan w:val="4"/>
          </w:tcPr>
          <w:p>
            <w:pPr>
              <w:spacing w:after="0"/>
              <w:rPr>
                <w:sz w:val="15"/>
                <w:szCs w:val="15"/>
                <w:color w:val="auto"/>
              </w:rPr>
            </w:pPr>
          </w:p>
        </w:tc>
        <w:tc>
          <w:tcPr>
            <w:tcW w:w="6040" w:type="dxa"/>
            <w:vAlign w:val="bottom"/>
            <w:gridSpan w:val="1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8. Asset Retirement Obligations and Accrued Environmental Costs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4"/>
          </w:tcPr>
          <w:p>
            <w:pPr>
              <w:spacing w:after="0"/>
              <w:rPr>
                <w:sz w:val="20"/>
                <w:szCs w:val="20"/>
                <w:color w:val="auto"/>
              </w:rPr>
            </w:pPr>
            <w:r>
              <w:rPr>
                <w:rFonts w:ascii="Arial" w:cs="Arial" w:eastAsia="Arial" w:hAnsi="Arial"/>
                <w:sz w:val="14"/>
                <w:szCs w:val="14"/>
                <w:color w:val="0000FF"/>
              </w:rPr>
              <w:t>9. Commitments and Contingencies</w:t>
            </w:r>
          </w:p>
        </w:tc>
        <w:tc>
          <w:tcPr>
            <w:tcW w:w="4440" w:type="dxa"/>
            <w:vAlign w:val="bottom"/>
            <w:gridSpan w:val="6"/>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10. Long-Term Debt and Other Credit Facilities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19"/>
          </w:tcPr>
          <w:p>
            <w:pPr>
              <w:spacing w:after="0"/>
              <w:rPr>
                <w:sz w:val="20"/>
                <w:szCs w:val="20"/>
                <w:color w:val="auto"/>
              </w:rPr>
            </w:pPr>
            <w:r>
              <w:rPr>
                <w:rFonts w:ascii="Arial" w:cs="Arial" w:eastAsia="Arial" w:hAnsi="Arial"/>
                <w:sz w:val="14"/>
                <w:szCs w:val="14"/>
                <w:color w:val="0000FF"/>
              </w:rPr>
              <w:t>11. Fair Value</w:t>
            </w:r>
          </w:p>
        </w:tc>
        <w:tc>
          <w:tcPr>
            <w:tcW w:w="570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15"/>
          </w:tcPr>
          <w:p>
            <w:pPr>
              <w:spacing w:after="0"/>
              <w:rPr>
                <w:sz w:val="20"/>
                <w:szCs w:val="20"/>
                <w:color w:val="auto"/>
              </w:rPr>
            </w:pPr>
            <w:r>
              <w:rPr>
                <w:rFonts w:ascii="Arial" w:cs="Arial" w:eastAsia="Arial" w:hAnsi="Arial"/>
                <w:sz w:val="14"/>
                <w:szCs w:val="14"/>
                <w:color w:val="0000FF"/>
                <w:w w:val="99"/>
              </w:rPr>
              <w:t>12. Postretirement Benefit Obligations</w:t>
            </w:r>
          </w:p>
        </w:tc>
        <w:tc>
          <w:tcPr>
            <w:tcW w:w="6300" w:type="dxa"/>
            <w:vAlign w:val="bottom"/>
            <w:gridSpan w:val="1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13. Stock-Based Compensation</w:t>
            </w:r>
          </w:p>
        </w:tc>
        <w:tc>
          <w:tcPr>
            <w:tcW w:w="340" w:type="dxa"/>
            <w:vAlign w:val="bottom"/>
            <w:gridSpan w:val="3"/>
          </w:tcPr>
          <w:p>
            <w:pPr>
              <w:spacing w:after="0"/>
              <w:rPr>
                <w:sz w:val="15"/>
                <w:szCs w:val="15"/>
                <w:color w:val="auto"/>
              </w:rPr>
            </w:pPr>
          </w:p>
        </w:tc>
        <w:tc>
          <w:tcPr>
            <w:tcW w:w="6300" w:type="dxa"/>
            <w:vAlign w:val="bottom"/>
            <w:gridSpan w:val="1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8"/>
          </w:tcPr>
          <w:p>
            <w:pPr>
              <w:spacing w:after="0"/>
              <w:rPr>
                <w:sz w:val="20"/>
                <w:szCs w:val="20"/>
                <w:color w:val="auto"/>
              </w:rPr>
            </w:pPr>
            <w:r>
              <w:rPr>
                <w:rFonts w:ascii="Arial" w:cs="Arial" w:eastAsia="Arial" w:hAnsi="Arial"/>
                <w:sz w:val="14"/>
                <w:szCs w:val="14"/>
                <w:color w:val="0000FF"/>
              </w:rPr>
              <w:t>14. Earnings Per Share</w:t>
            </w:r>
          </w:p>
        </w:tc>
        <w:tc>
          <w:tcPr>
            <w:tcW w:w="540" w:type="dxa"/>
            <w:vAlign w:val="bottom"/>
            <w:gridSpan w:val="4"/>
          </w:tcPr>
          <w:p>
            <w:pPr>
              <w:spacing w:after="0"/>
              <w:rPr>
                <w:sz w:val="15"/>
                <w:szCs w:val="15"/>
                <w:color w:val="auto"/>
              </w:rPr>
            </w:pPr>
          </w:p>
        </w:tc>
        <w:tc>
          <w:tcPr>
            <w:tcW w:w="664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15. Stockholders' Equity</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0"/>
          </w:tcPr>
          <w:p>
            <w:pPr>
              <w:spacing w:after="0"/>
              <w:rPr>
                <w:sz w:val="20"/>
                <w:szCs w:val="20"/>
                <w:color w:val="auto"/>
              </w:rPr>
            </w:pPr>
            <w:r>
              <w:rPr>
                <w:rFonts w:ascii="Arial" w:cs="Arial" w:eastAsia="Arial" w:hAnsi="Arial"/>
                <w:sz w:val="14"/>
                <w:szCs w:val="14"/>
                <w:color w:val="0000FF"/>
              </w:rPr>
              <w:t>16. Supplemental Cash Flow Information</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28</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16"/>
          </w:tcPr>
          <w:p>
            <w:pPr>
              <w:spacing w:after="0"/>
              <w:rPr>
                <w:sz w:val="20"/>
                <w:szCs w:val="20"/>
                <w:color w:val="auto"/>
              </w:rPr>
            </w:pPr>
            <w:r>
              <w:rPr>
                <w:rFonts w:ascii="Arial" w:cs="Arial" w:eastAsia="Arial" w:hAnsi="Arial"/>
                <w:sz w:val="14"/>
                <w:szCs w:val="14"/>
                <w:color w:val="0000FF"/>
              </w:rPr>
              <w:t>17. Acquisitions and Divestitures</w:t>
            </w:r>
          </w:p>
        </w:tc>
        <w:tc>
          <w:tcPr>
            <w:tcW w:w="614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0000FF"/>
              </w:rPr>
              <w:t>18. Segments</w:t>
            </w:r>
          </w:p>
        </w:tc>
        <w:tc>
          <w:tcPr>
            <w:tcW w:w="1140" w:type="dxa"/>
            <w:vAlign w:val="bottom"/>
            <w:gridSpan w:val="8"/>
          </w:tcPr>
          <w:p>
            <w:pPr>
              <w:spacing w:after="0"/>
              <w:rPr>
                <w:sz w:val="15"/>
                <w:szCs w:val="15"/>
                <w:color w:val="auto"/>
              </w:rPr>
            </w:pPr>
          </w:p>
        </w:tc>
        <w:tc>
          <w:tcPr>
            <w:tcW w:w="664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1"/>
          </w:tcPr>
          <w:p>
            <w:pPr>
              <w:spacing w:after="0"/>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40" w:type="dxa"/>
            <w:vAlign w:val="bottom"/>
            <w:tcBorders>
              <w:top w:val="single" w:sz="8" w:color="0000FF"/>
            </w:tcBorders>
            <w:gridSpan w:val="29"/>
          </w:tcPr>
          <w:p>
            <w:pPr>
              <w:spacing w:after="0"/>
              <w:rPr>
                <w:sz w:val="20"/>
                <w:szCs w:val="20"/>
                <w:color w:val="auto"/>
              </w:rPr>
            </w:pPr>
            <w:r>
              <w:rPr>
                <w:rFonts w:ascii="Arial" w:cs="Arial" w:eastAsia="Arial" w:hAnsi="Arial"/>
                <w:sz w:val="14"/>
                <w:szCs w:val="14"/>
                <w:color w:val="0000FF"/>
              </w:rPr>
              <w:t>Recent Development</w:t>
            </w:r>
            <w:r>
              <w:rPr>
                <w:rFonts w:ascii="Arial" w:cs="Arial" w:eastAsia="Arial" w:hAnsi="Arial"/>
                <w:sz w:val="14"/>
                <w:szCs w:val="14"/>
                <w:color w:val="0E32E1"/>
              </w:rPr>
              <w:t>s</w:t>
            </w:r>
          </w:p>
        </w:tc>
        <w:tc>
          <w:tcPr>
            <w:tcW w:w="1040" w:type="dxa"/>
            <w:vAlign w:val="bottom"/>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25"/>
          </w:tcPr>
          <w:p>
            <w:pPr>
              <w:spacing w:after="0"/>
              <w:rPr>
                <w:sz w:val="20"/>
                <w:szCs w:val="20"/>
                <w:color w:val="auto"/>
              </w:rPr>
            </w:pPr>
            <w:r>
              <w:rPr>
                <w:rFonts w:ascii="Arial" w:cs="Arial" w:eastAsia="Arial" w:hAnsi="Arial"/>
                <w:sz w:val="14"/>
                <w:szCs w:val="14"/>
                <w:color w:val="0000FF"/>
              </w:rPr>
              <w:t>Factors Affecting Our Financial Condition and Results of Operations</w:t>
            </w:r>
          </w:p>
        </w:tc>
        <w:tc>
          <w:tcPr>
            <w:tcW w:w="4340" w:type="dxa"/>
            <w:vAlign w:val="bottom"/>
            <w:gridSpan w:val="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7"/>
          </w:tcPr>
          <w:p>
            <w:pPr>
              <w:spacing w:after="0"/>
              <w:rPr>
                <w:sz w:val="20"/>
                <w:szCs w:val="20"/>
                <w:color w:val="auto"/>
              </w:rPr>
            </w:pPr>
            <w:r>
              <w:rPr>
                <w:rFonts w:ascii="Arial" w:cs="Arial" w:eastAsia="Arial" w:hAnsi="Arial"/>
                <w:sz w:val="14"/>
                <w:szCs w:val="14"/>
                <w:color w:val="0000FF"/>
              </w:rPr>
              <w:t>Results of Operations</w:t>
            </w:r>
          </w:p>
        </w:tc>
        <w:tc>
          <w:tcPr>
            <w:tcW w:w="2940" w:type="dxa"/>
            <w:vAlign w:val="bottom"/>
            <w:gridSpan w:val="18"/>
          </w:tcPr>
          <w:p>
            <w:pPr>
              <w:spacing w:after="0"/>
              <w:rPr>
                <w:sz w:val="15"/>
                <w:szCs w:val="15"/>
                <w:color w:val="auto"/>
              </w:rPr>
            </w:pPr>
          </w:p>
        </w:tc>
        <w:tc>
          <w:tcPr>
            <w:tcW w:w="4340" w:type="dxa"/>
            <w:vAlign w:val="bottom"/>
            <w:gridSpan w:val="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Liquidity and Capital Resources</w:t>
            </w:r>
          </w:p>
        </w:tc>
        <w:tc>
          <w:tcPr>
            <w:tcW w:w="664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6"/>
          </w:tcPr>
          <w:p>
            <w:pPr>
              <w:spacing w:after="0"/>
              <w:rPr>
                <w:sz w:val="20"/>
                <w:szCs w:val="20"/>
                <w:color w:val="auto"/>
              </w:rPr>
            </w:pPr>
            <w:r>
              <w:rPr>
                <w:rFonts w:ascii="Arial" w:cs="Arial" w:eastAsia="Arial" w:hAnsi="Arial"/>
                <w:sz w:val="14"/>
                <w:szCs w:val="14"/>
                <w:color w:val="0000FF"/>
              </w:rPr>
              <w:t>Cash Flow Activities</w:t>
            </w:r>
          </w:p>
        </w:tc>
        <w:tc>
          <w:tcPr>
            <w:tcW w:w="740" w:type="dxa"/>
            <w:vAlign w:val="bottom"/>
            <w:gridSpan w:val="6"/>
          </w:tcPr>
          <w:p>
            <w:pPr>
              <w:spacing w:after="0"/>
              <w:rPr>
                <w:sz w:val="15"/>
                <w:szCs w:val="15"/>
                <w:color w:val="auto"/>
              </w:rPr>
            </w:pPr>
          </w:p>
        </w:tc>
        <w:tc>
          <w:tcPr>
            <w:tcW w:w="664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38</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18"/>
          </w:tcPr>
          <w:p>
            <w:pPr>
              <w:spacing w:after="0"/>
              <w:rPr>
                <w:sz w:val="20"/>
                <w:szCs w:val="20"/>
                <w:color w:val="auto"/>
              </w:rPr>
            </w:pPr>
            <w:r>
              <w:rPr>
                <w:rFonts w:ascii="Arial" w:cs="Arial" w:eastAsia="Arial" w:hAnsi="Arial"/>
                <w:sz w:val="14"/>
                <w:szCs w:val="14"/>
                <w:color w:val="0000FF"/>
                <w:w w:val="99"/>
              </w:rPr>
              <w:t>Contractual Obligations and Commitments</w:t>
            </w:r>
          </w:p>
        </w:tc>
        <w:tc>
          <w:tcPr>
            <w:tcW w:w="6020" w:type="dxa"/>
            <w:vAlign w:val="bottom"/>
            <w:gridSpan w:val="1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11"/>
          </w:tcPr>
          <w:p>
            <w:pPr>
              <w:spacing w:after="0"/>
              <w:rPr>
                <w:sz w:val="20"/>
                <w:szCs w:val="20"/>
                <w:color w:val="auto"/>
              </w:rPr>
            </w:pPr>
            <w:r>
              <w:rPr>
                <w:rFonts w:ascii="Arial" w:cs="Arial" w:eastAsia="Arial" w:hAnsi="Arial"/>
                <w:sz w:val="14"/>
                <w:szCs w:val="14"/>
                <w:color w:val="0000FF"/>
              </w:rPr>
              <w:t>Non-GAAP Financial Measure</w:t>
            </w:r>
          </w:p>
        </w:tc>
        <w:tc>
          <w:tcPr>
            <w:tcW w:w="720" w:type="dxa"/>
            <w:vAlign w:val="bottom"/>
            <w:gridSpan w:val="7"/>
          </w:tcPr>
          <w:p>
            <w:pPr>
              <w:spacing w:after="0"/>
              <w:rPr>
                <w:sz w:val="15"/>
                <w:szCs w:val="15"/>
                <w:color w:val="auto"/>
              </w:rPr>
            </w:pPr>
          </w:p>
        </w:tc>
        <w:tc>
          <w:tcPr>
            <w:tcW w:w="6020" w:type="dxa"/>
            <w:vAlign w:val="bottom"/>
            <w:gridSpan w:val="1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10"/>
          </w:tcPr>
          <w:p>
            <w:pPr>
              <w:spacing w:after="0"/>
              <w:rPr>
                <w:sz w:val="20"/>
                <w:szCs w:val="20"/>
                <w:color w:val="auto"/>
              </w:rPr>
            </w:pPr>
            <w:r>
              <w:rPr>
                <w:rFonts w:ascii="Arial" w:cs="Arial" w:eastAsia="Arial" w:hAnsi="Arial"/>
                <w:sz w:val="14"/>
                <w:szCs w:val="14"/>
                <w:color w:val="0000FF"/>
              </w:rPr>
              <w:t>Critical Accounting Estimates</w:t>
            </w:r>
          </w:p>
        </w:tc>
        <w:tc>
          <w:tcPr>
            <w:tcW w:w="80" w:type="dxa"/>
            <w:vAlign w:val="bottom"/>
          </w:tcPr>
          <w:p>
            <w:pPr>
              <w:spacing w:after="0"/>
              <w:rPr>
                <w:sz w:val="15"/>
                <w:szCs w:val="15"/>
                <w:color w:val="auto"/>
              </w:rPr>
            </w:pPr>
          </w:p>
        </w:tc>
        <w:tc>
          <w:tcPr>
            <w:tcW w:w="6740" w:type="dxa"/>
            <w:vAlign w:val="bottom"/>
            <w:gridSpan w:val="1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28"/>
          </w:tcPr>
          <w:p>
            <w:pPr>
              <w:spacing w:after="0"/>
              <w:rPr>
                <w:sz w:val="20"/>
                <w:szCs w:val="20"/>
                <w:color w:val="auto"/>
              </w:rPr>
            </w:pPr>
            <w:r>
              <w:rPr>
                <w:rFonts w:ascii="Arial" w:cs="Arial" w:eastAsia="Arial" w:hAnsi="Arial"/>
                <w:sz w:val="14"/>
                <w:szCs w:val="14"/>
                <w:color w:val="0000FF"/>
              </w:rPr>
              <w:t>ITEM 3. QUANTITATIVE AND QUALITATIVE DISCLOSURES ABOUT MARKET RISK</w:t>
            </w:r>
          </w:p>
        </w:tc>
        <w:tc>
          <w:tcPr>
            <w:tcW w:w="338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28"/>
          </w:tcPr>
          <w:p>
            <w:pPr>
              <w:spacing w:after="0"/>
              <w:rPr>
                <w:sz w:val="20"/>
                <w:szCs w:val="20"/>
                <w:color w:val="auto"/>
              </w:rPr>
            </w:pPr>
            <w:r>
              <w:rPr>
                <w:rFonts w:ascii="Arial" w:cs="Arial" w:eastAsia="Arial" w:hAnsi="Arial"/>
                <w:sz w:val="14"/>
                <w:szCs w:val="14"/>
                <w:color w:val="0000FF"/>
              </w:rPr>
              <w:t>ITEM 4. CONTROLS AND PROCEDURES</w:t>
            </w:r>
          </w:p>
        </w:tc>
        <w:tc>
          <w:tcPr>
            <w:tcW w:w="338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2"/>
          </w:tcPr>
          <w:p>
            <w:pPr>
              <w:spacing w:after="0"/>
              <w:rPr>
                <w:sz w:val="20"/>
                <w:szCs w:val="20"/>
                <w:color w:val="auto"/>
              </w:rPr>
            </w:pPr>
            <w:r>
              <w:rPr>
                <w:rFonts w:ascii="Arial" w:cs="Arial" w:eastAsia="Arial" w:hAnsi="Arial"/>
                <w:sz w:val="14"/>
                <w:szCs w:val="14"/>
                <w:color w:val="0000FF"/>
              </w:rPr>
              <w:t>PART II. OTHER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11"/>
          </w:tcPr>
          <w:p>
            <w:pPr>
              <w:spacing w:after="0"/>
              <w:rPr>
                <w:sz w:val="20"/>
                <w:szCs w:val="20"/>
                <w:color w:val="auto"/>
              </w:rPr>
            </w:pPr>
            <w:r>
              <w:rPr>
                <w:rFonts w:ascii="Arial" w:cs="Arial" w:eastAsia="Arial" w:hAnsi="Arial"/>
                <w:sz w:val="14"/>
                <w:szCs w:val="14"/>
                <w:color w:val="0000FF"/>
                <w:w w:val="98"/>
              </w:rPr>
              <w:t>ITEM 1. LEGAL PROCEEDINGS</w:t>
            </w:r>
          </w:p>
        </w:tc>
        <w:tc>
          <w:tcPr>
            <w:tcW w:w="6820" w:type="dxa"/>
            <w:vAlign w:val="bottom"/>
            <w:gridSpan w:val="2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9"/>
          </w:tcPr>
          <w:p>
            <w:pPr>
              <w:spacing w:after="0"/>
              <w:rPr>
                <w:sz w:val="20"/>
                <w:szCs w:val="20"/>
                <w:color w:val="auto"/>
              </w:rPr>
            </w:pPr>
            <w:r>
              <w:rPr>
                <w:rFonts w:ascii="Arial" w:cs="Arial" w:eastAsia="Arial" w:hAnsi="Arial"/>
                <w:sz w:val="14"/>
                <w:szCs w:val="14"/>
                <w:color w:val="0000FF"/>
              </w:rPr>
              <w:t>ITEM 1A. RISK FACTORS</w:t>
            </w:r>
          </w:p>
        </w:tc>
        <w:tc>
          <w:tcPr>
            <w:tcW w:w="360" w:type="dxa"/>
            <w:vAlign w:val="bottom"/>
            <w:gridSpan w:val="2"/>
          </w:tcPr>
          <w:p>
            <w:pPr>
              <w:spacing w:after="0"/>
              <w:rPr>
                <w:sz w:val="15"/>
                <w:szCs w:val="15"/>
                <w:color w:val="auto"/>
              </w:rPr>
            </w:pPr>
          </w:p>
        </w:tc>
        <w:tc>
          <w:tcPr>
            <w:tcW w:w="6820" w:type="dxa"/>
            <w:vAlign w:val="bottom"/>
            <w:gridSpan w:val="2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1"/>
          </w:tcPr>
          <w:p>
            <w:pPr>
              <w:spacing w:after="0"/>
              <w:rPr>
                <w:sz w:val="20"/>
                <w:szCs w:val="20"/>
                <w:color w:val="auto"/>
              </w:rPr>
            </w:pPr>
            <w:r>
              <w:rPr>
                <w:rFonts w:ascii="Arial" w:cs="Arial" w:eastAsia="Arial" w:hAnsi="Arial"/>
                <w:sz w:val="14"/>
                <w:szCs w:val="14"/>
                <w:color w:val="0000FF"/>
              </w:rPr>
              <w:t>ITEM 2. UNREGISTERED SALES OF EQUITY SECURITIES AND USE OF PROCEEDS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21"/>
          </w:tcPr>
          <w:p>
            <w:pPr>
              <w:spacing w:after="0"/>
              <w:rPr>
                <w:sz w:val="20"/>
                <w:szCs w:val="20"/>
                <w:color w:val="auto"/>
              </w:rPr>
            </w:pPr>
            <w:r>
              <w:rPr>
                <w:rFonts w:ascii="Arial" w:cs="Arial" w:eastAsia="Arial" w:hAnsi="Arial"/>
                <w:sz w:val="14"/>
                <w:szCs w:val="14"/>
                <w:color w:val="0000FF"/>
              </w:rPr>
              <w:t>ITEM 3. DEFAULTS UPON SENIOR SECURITIES</w:t>
            </w:r>
          </w:p>
        </w:tc>
        <w:tc>
          <w:tcPr>
            <w:tcW w:w="2440" w:type="dxa"/>
            <w:vAlign w:val="bottom"/>
            <w:gridSpan w:val="8"/>
          </w:tcPr>
          <w:p>
            <w:pPr>
              <w:spacing w:after="0"/>
              <w:rPr>
                <w:sz w:val="15"/>
                <w:szCs w:val="15"/>
                <w:color w:val="auto"/>
              </w:rPr>
            </w:pPr>
          </w:p>
        </w:tc>
        <w:tc>
          <w:tcPr>
            <w:tcW w:w="3200" w:type="dxa"/>
            <w:vAlign w:val="bottom"/>
            <w:gridSpan w:val="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6"/>
          </w:tcPr>
          <w:p>
            <w:pPr>
              <w:spacing w:after="0"/>
              <w:rPr>
                <w:sz w:val="20"/>
                <w:szCs w:val="20"/>
                <w:color w:val="auto"/>
              </w:rPr>
            </w:pPr>
            <w:r>
              <w:rPr>
                <w:rFonts w:ascii="Arial" w:cs="Arial" w:eastAsia="Arial" w:hAnsi="Arial"/>
                <w:sz w:val="14"/>
                <w:szCs w:val="14"/>
                <w:color w:val="0000FF"/>
              </w:rPr>
              <w:t>ITEM 4. MINE SAFETY DISCLOSURES</w:t>
            </w:r>
          </w:p>
        </w:tc>
        <w:tc>
          <w:tcPr>
            <w:tcW w:w="660" w:type="dxa"/>
            <w:vAlign w:val="bottom"/>
            <w:gridSpan w:val="5"/>
          </w:tcPr>
          <w:p>
            <w:pPr>
              <w:spacing w:after="0"/>
              <w:rPr>
                <w:sz w:val="15"/>
                <w:szCs w:val="15"/>
                <w:color w:val="auto"/>
              </w:rPr>
            </w:pPr>
          </w:p>
        </w:tc>
        <w:tc>
          <w:tcPr>
            <w:tcW w:w="5640" w:type="dxa"/>
            <w:vAlign w:val="bottom"/>
            <w:gridSpan w:val="1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6"/>
          </w:tcPr>
          <w:p>
            <w:pPr>
              <w:spacing w:after="0"/>
              <w:rPr>
                <w:sz w:val="20"/>
                <w:szCs w:val="20"/>
                <w:color w:val="auto"/>
              </w:rPr>
            </w:pPr>
            <w:r>
              <w:rPr>
                <w:rFonts w:ascii="Arial" w:cs="Arial" w:eastAsia="Arial" w:hAnsi="Arial"/>
                <w:sz w:val="14"/>
                <w:szCs w:val="14"/>
                <w:color w:val="0000FF"/>
              </w:rPr>
              <w:t>ITEM 5. OTHER INFORMATION</w:t>
            </w:r>
          </w:p>
        </w:tc>
        <w:tc>
          <w:tcPr>
            <w:tcW w:w="6300" w:type="dxa"/>
            <w:vAlign w:val="bottom"/>
            <w:gridSpan w:val="1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11"/>
          </w:tcPr>
          <w:p>
            <w:pPr>
              <w:spacing w:after="0"/>
              <w:rPr>
                <w:sz w:val="20"/>
                <w:szCs w:val="20"/>
                <w:color w:val="auto"/>
              </w:rPr>
            </w:pPr>
            <w:r>
              <w:rPr>
                <w:rFonts w:ascii="Arial" w:cs="Arial" w:eastAsia="Arial" w:hAnsi="Arial"/>
                <w:sz w:val="14"/>
                <w:szCs w:val="14"/>
                <w:color w:val="0000FF"/>
              </w:rPr>
              <w:t>ITEM 6. EXHIBITS</w:t>
            </w:r>
          </w:p>
        </w:tc>
        <w:tc>
          <w:tcPr>
            <w:tcW w:w="6820" w:type="dxa"/>
            <w:vAlign w:val="bottom"/>
            <w:gridSpan w:val="2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2"/>
          </w:tcPr>
          <w:p>
            <w:pPr>
              <w:spacing w:after="0"/>
              <w:rPr>
                <w:sz w:val="20"/>
                <w:szCs w:val="20"/>
                <w:color w:val="auto"/>
              </w:rPr>
            </w:pPr>
            <w:r>
              <w:rPr>
                <w:rFonts w:ascii="Arial" w:cs="Arial" w:eastAsia="Arial" w:hAnsi="Arial"/>
                <w:sz w:val="14"/>
                <w:szCs w:val="14"/>
                <w:color w:val="0000FF"/>
              </w:rPr>
              <w:t>GLOSSARY OF TERMS AND ABBREVIATIONS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80" w:type="dxa"/>
            <w:vAlign w:val="bottom"/>
            <w:gridSpan w:val="17"/>
            <w:shd w:val="clear" w:color="auto" w:fill="0000FF"/>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120" w:type="dxa"/>
            <w:vAlign w:val="bottom"/>
            <w:gridSpan w:val="20"/>
          </w:tcPr>
          <w:p>
            <w:pPr>
              <w:spacing w:after="0"/>
              <w:rPr>
                <w:sz w:val="20"/>
                <w:szCs w:val="20"/>
                <w:color w:val="auto"/>
              </w:rPr>
            </w:pPr>
            <w:r>
              <w:rPr>
                <w:rFonts w:ascii="Arial" w:cs="Arial" w:eastAsia="Arial" w:hAnsi="Arial"/>
                <w:sz w:val="14"/>
                <w:szCs w:val="14"/>
                <w:color w:val="0000FF"/>
              </w:rPr>
              <w:t>SIGNATURES</w:t>
            </w:r>
          </w:p>
        </w:tc>
        <w:tc>
          <w:tcPr>
            <w:tcW w:w="6020" w:type="dxa"/>
            <w:vAlign w:val="bottom"/>
            <w:gridSpan w:val="1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175"/>
        </w:trPr>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Quarterly Report on Form 10-Q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including but not limited to “Item 1A. Risk Factors” in this Report and our most recent Annual Report on Form 10-K for the year ended December 31, 2025 (our “2025 Annual Report”), as updated by our Quarterly Reports on Form 10-Q for the three months ended March 31, 2026 and June 30, 2026 (our “2026 Quarterly Reports”).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2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spacing w:after="0" w:line="120"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319"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of this Report and our 2025 Annual Report, as updated by our 2026 Quarterly Reports.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604</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812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3,203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1,832</w:t>
            </w:r>
          </w:p>
        </w:tc>
        <w:tc>
          <w:tcPr>
            <w:tcW w:w="0" w:type="dxa"/>
            <w:vAlign w:val="bottom"/>
          </w:tcPr>
          <w:p>
            <w:pPr>
              <w:spacing w:after="0"/>
              <w:rPr>
                <w:sz w:val="1"/>
                <w:szCs w:val="1"/>
                <w:color w:val="auto"/>
              </w:rPr>
            </w:pPr>
          </w:p>
        </w:tc>
      </w:tr>
      <w:tr>
        <w:trPr>
          <w:trHeight w:val="56"/>
        </w:trPr>
        <w:tc>
          <w:tcPr>
            <w:tcW w:w="4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(779)</w:t>
            </w:r>
          </w:p>
        </w:tc>
        <w:tc>
          <w:tcPr>
            <w:tcW w:w="0" w:type="dxa"/>
            <w:vAlign w:val="bottom"/>
          </w:tcPr>
          <w:p>
            <w:pPr>
              <w:spacing w:after="0"/>
              <w:rPr>
                <w:sz w:val="1"/>
                <w:szCs w:val="1"/>
                <w:color w:val="auto"/>
              </w:rPr>
            </w:pPr>
          </w:p>
        </w:tc>
      </w:tr>
      <w:tr>
        <w:trPr>
          <w:trHeight w:val="56"/>
        </w:trPr>
        <w:tc>
          <w:tcPr>
            <w:tcW w:w="4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53"/>
        </w:trPr>
        <w:tc>
          <w:tcPr>
            <w:tcW w:w="49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General and administrative (Includes stock-based compensation of $(51),</w:t>
            </w:r>
          </w:p>
        </w:tc>
        <w:tc>
          <w:tcPr>
            <w:tcW w:w="2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3"/>
                <w:szCs w:val="13"/>
                <w:color w:val="auto"/>
              </w:rPr>
            </w:pPr>
          </w:p>
        </w:tc>
        <w:tc>
          <w:tcPr>
            <w:tcW w:w="340" w:type="dxa"/>
            <w:vAlign w:val="bottom"/>
            <w:shd w:val="clear" w:color="auto" w:fill="E1E1E2"/>
          </w:tcPr>
          <w:p>
            <w:pPr>
              <w:spacing w:after="0"/>
              <w:rPr>
                <w:sz w:val="13"/>
                <w:szCs w:val="13"/>
                <w:color w:val="auto"/>
              </w:rPr>
            </w:pPr>
          </w:p>
        </w:tc>
        <w:tc>
          <w:tcPr>
            <w:tcW w:w="11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E1E1E2"/>
          </w:tcPr>
          <w:p>
            <w:pPr>
              <w:spacing w:after="0"/>
              <w:rPr>
                <w:sz w:val="13"/>
                <w:szCs w:val="13"/>
                <w:color w:val="auto"/>
              </w:rPr>
            </w:pPr>
          </w:p>
        </w:tc>
        <w:tc>
          <w:tcPr>
            <w:tcW w:w="24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E1E1E2"/>
          </w:tcPr>
          <w:p>
            <w:pPr>
              <w:spacing w:after="0"/>
              <w:rPr>
                <w:sz w:val="13"/>
                <w:szCs w:val="13"/>
                <w:color w:val="auto"/>
              </w:rPr>
            </w:pPr>
          </w:p>
        </w:tc>
        <w:tc>
          <w:tcPr>
            <w:tcW w:w="340" w:type="dxa"/>
            <w:vAlign w:val="bottom"/>
            <w:shd w:val="clear" w:color="auto" w:fill="E1E1E2"/>
          </w:tcPr>
          <w:p>
            <w:pPr>
              <w:spacing w:after="0"/>
              <w:rPr>
                <w:sz w:val="13"/>
                <w:szCs w:val="13"/>
                <w:color w:val="auto"/>
              </w:rPr>
            </w:pPr>
          </w:p>
        </w:tc>
        <w:tc>
          <w:tcPr>
            <w:tcW w:w="11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$(15), $(120) and $(42)) (Note 13)</w:t>
            </w:r>
          </w:p>
        </w:tc>
        <w:tc>
          <w:tcPr>
            <w:tcW w:w="2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24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9"/>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263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9"/>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6"/>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0"/>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304</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19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207</w:t>
            </w:r>
          </w:p>
        </w:tc>
        <w:tc>
          <w:tcPr>
            <w:tcW w:w="8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4.52</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53"/>
        </w:trPr>
        <w:tc>
          <w:tcPr>
            <w:tcW w:w="49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Weighted-Average Number of Common Shares Outstanding - Basic (in</w:t>
            </w:r>
          </w:p>
        </w:tc>
        <w:tc>
          <w:tcPr>
            <w:tcW w:w="2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47,625</w:t>
            </w:r>
          </w:p>
        </w:tc>
        <w:tc>
          <w:tcPr>
            <w:tcW w:w="100" w:type="dxa"/>
            <w:vAlign w:val="bottom"/>
            <w:shd w:val="clear" w:color="auto" w:fill="E1E1E2"/>
          </w:tcPr>
          <w:p>
            <w:pPr>
              <w:spacing w:after="0"/>
              <w:rPr>
                <w:sz w:val="13"/>
                <w:szCs w:val="13"/>
                <w:color w:val="auto"/>
              </w:rPr>
            </w:pPr>
          </w:p>
        </w:tc>
        <w:tc>
          <w:tcPr>
            <w:tcW w:w="340" w:type="dxa"/>
            <w:vAlign w:val="bottom"/>
            <w:shd w:val="clear" w:color="auto" w:fill="E1E1E2"/>
          </w:tcPr>
          <w:p>
            <w:pPr>
              <w:spacing w:after="0"/>
              <w:rPr>
                <w:sz w:val="13"/>
                <w:szCs w:val="13"/>
                <w:color w:val="auto"/>
              </w:rPr>
            </w:pPr>
          </w:p>
        </w:tc>
        <w:tc>
          <w:tcPr>
            <w:tcW w:w="116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45,684</w:t>
            </w:r>
          </w:p>
        </w:tc>
        <w:tc>
          <w:tcPr>
            <w:tcW w:w="80" w:type="dxa"/>
            <w:vAlign w:val="bottom"/>
            <w:shd w:val="clear" w:color="auto" w:fill="E1E1E2"/>
          </w:tcPr>
          <w:p>
            <w:pPr>
              <w:spacing w:after="0"/>
              <w:rPr>
                <w:sz w:val="13"/>
                <w:szCs w:val="13"/>
                <w:color w:val="auto"/>
              </w:rPr>
            </w:pPr>
          </w:p>
        </w:tc>
        <w:tc>
          <w:tcPr>
            <w:tcW w:w="24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46,388</w:t>
            </w:r>
          </w:p>
        </w:tc>
        <w:tc>
          <w:tcPr>
            <w:tcW w:w="100" w:type="dxa"/>
            <w:vAlign w:val="bottom"/>
            <w:shd w:val="clear" w:color="auto" w:fill="E1E1E2"/>
          </w:tcPr>
          <w:p>
            <w:pPr>
              <w:spacing w:after="0"/>
              <w:rPr>
                <w:sz w:val="13"/>
                <w:szCs w:val="13"/>
                <w:color w:val="auto"/>
              </w:rPr>
            </w:pPr>
          </w:p>
        </w:tc>
        <w:tc>
          <w:tcPr>
            <w:tcW w:w="340" w:type="dxa"/>
            <w:vAlign w:val="bottom"/>
            <w:shd w:val="clear" w:color="auto" w:fill="E1E1E2"/>
          </w:tcPr>
          <w:p>
            <w:pPr>
              <w:spacing w:after="0"/>
              <w:rPr>
                <w:sz w:val="13"/>
                <w:szCs w:val="13"/>
                <w:color w:val="auto"/>
              </w:rPr>
            </w:pPr>
          </w:p>
        </w:tc>
        <w:tc>
          <w:tcPr>
            <w:tcW w:w="11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45,694</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thousands)</w:t>
            </w:r>
          </w:p>
        </w:tc>
        <w:tc>
          <w:tcPr>
            <w:tcW w:w="2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24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 Shares Outstanding - Diluted (in</w:t>
            </w:r>
          </w:p>
        </w:tc>
        <w:tc>
          <w:tcPr>
            <w:tcW w:w="2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47,973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48,582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46,757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48,588</w:t>
            </w:r>
          </w:p>
        </w:tc>
        <w:tc>
          <w:tcPr>
            <w:tcW w:w="0" w:type="dxa"/>
            <w:vAlign w:val="bottom"/>
          </w:tcPr>
          <w:p>
            <w:pPr>
              <w:spacing w:after="0"/>
              <w:rPr>
                <w:sz w:val="1"/>
                <w:szCs w:val="1"/>
                <w:color w:val="auto"/>
              </w:rPr>
            </w:pPr>
          </w:p>
        </w:tc>
      </w:tr>
      <w:tr>
        <w:trPr>
          <w:trHeight w:val="189"/>
        </w:trPr>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E1E1E2"/>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r>
      <w:tr>
        <w:trPr>
          <w:trHeight w:val="224"/>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shd w:val="clear" w:color="auto" w:fill="E1E1E2"/>
          </w:tcPr>
          <w:p>
            <w:pPr>
              <w:spacing w:after="0"/>
              <w:rPr>
                <w:sz w:val="19"/>
                <w:szCs w:val="19"/>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144</w:t>
            </w:r>
          </w:p>
        </w:tc>
      </w:tr>
      <w:tr>
        <w:trPr>
          <w:trHeight w:val="201"/>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r>
      <w:tr>
        <w:trPr>
          <w:trHeight w:val="19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0"/>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243"/>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 Attributable to Stockholders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shd w:val="clear" w:color="auto" w:fill="E1E1E2"/>
          </w:tcPr>
          <w:p>
            <w:pPr>
              <w:spacing w:after="0"/>
              <w:rPr>
                <w:sz w:val="21"/>
                <w:szCs w:val="21"/>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shd w:val="clear" w:color="auto" w:fill="E1E1E2"/>
          </w:tcPr>
          <w:p>
            <w:pPr>
              <w:spacing w:after="0"/>
              <w:rPr>
                <w:sz w:val="21"/>
                <w:szCs w:val="21"/>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78</w:t>
            </w:r>
          </w:p>
        </w:tc>
        <w:tc>
          <w:tcPr>
            <w:tcW w:w="80" w:type="dxa"/>
            <w:vAlign w:val="bottom"/>
            <w:shd w:val="clear" w:color="auto" w:fill="E1E1E2"/>
          </w:tcPr>
          <w:p>
            <w:pPr>
              <w:spacing w:after="0"/>
              <w:rPr>
                <w:sz w:val="21"/>
                <w:szCs w:val="21"/>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148</w:t>
            </w: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r>
      <w:tr>
        <w:trPr>
          <w:trHeight w:val="196"/>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689</w:t>
            </w:r>
          </w:p>
        </w:tc>
      </w:tr>
      <w:tr>
        <w:trPr>
          <w:trHeight w:val="207"/>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16)</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3)</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07"/>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5)</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278</w:t>
            </w: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3"/>
        </w:trPr>
        <w:tc>
          <w:tcPr>
            <w:tcW w:w="8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1,349</w:t>
            </w:r>
          </w:p>
        </w:tc>
      </w:tr>
      <w:tr>
        <w:trPr>
          <w:trHeight w:val="197"/>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7)</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11,858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7,546</w:t>
            </w: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6 and 11)</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1,900</w:t>
            </w:r>
          </w:p>
        </w:tc>
      </w:tr>
      <w:tr>
        <w:trPr>
          <w:trHeight w:val="207"/>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19"/>
        </w:trPr>
        <w:tc>
          <w:tcPr>
            <w:tcW w:w="8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15,087</w:t>
            </w:r>
          </w:p>
        </w:tc>
        <w:tc>
          <w:tcPr>
            <w:tcW w:w="10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10,905</w:t>
            </w: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4"/>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 (Notes 10 and 11)</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7"/>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7"/>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liabilities (Note 13)</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501</w:t>
            </w:r>
          </w:p>
        </w:tc>
      </w:tr>
      <w:tr>
        <w:trPr>
          <w:trHeight w:val="19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199"/>
        </w:trPr>
        <w:tc>
          <w:tcPr>
            <w:tcW w:w="8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1,290</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1,050</w:t>
            </w:r>
          </w:p>
        </w:tc>
      </w:tr>
      <w:tr>
        <w:trPr>
          <w:trHeight w:val="193"/>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Long-term debt (Notes 10 and 11)</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6,782</w:t>
            </w:r>
          </w:p>
        </w:tc>
      </w:tr>
      <w:tr>
        <w:trPr>
          <w:trHeight w:val="206"/>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 (Note 12)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206"/>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 (Note 8)</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494</w:t>
            </w:r>
          </w:p>
        </w:tc>
      </w:tr>
      <w:tr>
        <w:trPr>
          <w:trHeight w:val="199"/>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486</w:t>
            </w:r>
          </w:p>
        </w:tc>
      </w:tr>
      <w:tr>
        <w:trPr>
          <w:trHeight w:val="206"/>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Acquired contract liabilities (Note 17)</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662</w:t>
            </w:r>
          </w:p>
        </w:tc>
      </w:tr>
      <w:tr>
        <w:trPr>
          <w:trHeight w:val="19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19"/>
        </w:trPr>
        <w:tc>
          <w:tcPr>
            <w:tcW w:w="8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13,484</w:t>
            </w:r>
          </w:p>
        </w:tc>
        <w:tc>
          <w:tcPr>
            <w:tcW w:w="10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9,812</w:t>
            </w: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6"/>
        </w:trPr>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03"/>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 (Note 15)</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202"/>
        </w:trPr>
        <w:tc>
          <w:tcPr>
            <w:tcW w:w="856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1,709</w:t>
            </w: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(612)</w:t>
            </w:r>
          </w:p>
        </w:tc>
      </w:tr>
      <w:tr>
        <w:trPr>
          <w:trHeight w:val="203"/>
        </w:trPr>
        <w:tc>
          <w:tcPr>
            <w:tcW w:w="8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1,580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1,093</w:t>
            </w:r>
          </w:p>
        </w:tc>
      </w:tr>
      <w:tr>
        <w:trPr>
          <w:trHeight w:val="200"/>
        </w:trPr>
        <w:tc>
          <w:tcPr>
            <w:tcW w:w="8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1,603</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w:t>
            </w:r>
          </w:p>
        </w:tc>
      </w:tr>
      <w:tr>
        <w:trPr>
          <w:trHeight w:val="216"/>
        </w:trPr>
        <w:tc>
          <w:tcPr>
            <w:tcW w:w="85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15,087</w:t>
            </w:r>
          </w:p>
        </w:tc>
        <w:tc>
          <w:tcPr>
            <w:tcW w:w="100" w:type="dxa"/>
            <w:vAlign w:val="bottom"/>
            <w:shd w:val="clear" w:color="auto" w:fill="E1E1E2"/>
          </w:tcPr>
          <w:p>
            <w:pPr>
              <w:spacing w:after="0"/>
              <w:rPr>
                <w:sz w:val="18"/>
                <w:szCs w:val="18"/>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10,905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47,316,772 and 45,687,828 shares issued and outstanding as of September 30, 2026 and December 31, 2025,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Unrealized (gains) losses on derivative instruments (Note 2)</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 (Note 16)</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208</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(excluding interest and fees) (Note 6)</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 (Note 7)</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(Note 13)</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(Gain) loss on sales of assets, net (Note 17)</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(Note 16)</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r>
      <w:tr>
        <w:trPr>
          <w:trHeight w:val="20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Inventory, net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202</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interest</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Collateral received (posted), net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settlement of stock-based awards (Note 13)</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199"/>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490</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424</w:t>
            </w:r>
          </w:p>
        </w:tc>
      </w:tr>
      <w:tr>
        <w:trPr>
          <w:trHeight w:val="237"/>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3"/>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expenditures (Note 7)</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r>
      <w:tr>
        <w:trPr>
          <w:trHeight w:val="199"/>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Nuclear fuel expenditures (Note 7)</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6"/>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purchases (Note 6)</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(1,852)</w:t>
            </w:r>
          </w:p>
        </w:tc>
      </w:tr>
      <w:tr>
        <w:trPr>
          <w:trHeight w:val="199"/>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sale proceeds (Note 6)</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1,827</w:t>
            </w:r>
          </w:p>
        </w:tc>
      </w:tr>
      <w:tr>
        <w:trPr>
          <w:trHeight w:val="206"/>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Cornerstone Acquisition, net (Note 17)</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(2,569)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Proceeds from the sale of assets (Note 17)</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2"/>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(156)</w:t>
            </w:r>
          </w:p>
        </w:tc>
      </w:tr>
      <w:tr>
        <w:trPr>
          <w:trHeight w:val="35"/>
        </w:trPr>
        <w:tc>
          <w:tcPr>
            <w:tcW w:w="80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r>
      <w:tr>
        <w:trPr>
          <w:trHeight w:val="203"/>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Debt issuances (Note 10)</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repayments (Note 10)</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Deferred financing costs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facility borrowings (Note 10)</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facility repayments (Note 10)</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 (Note 15)</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Tax payments related to net-settled stock-based awards (Note 13)</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2,070</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w:t>
            </w:r>
          </w:p>
        </w:tc>
      </w:tr>
      <w:tr>
        <w:trPr>
          <w:trHeight w:val="19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132</w:t>
            </w:r>
          </w:p>
        </w:tc>
      </w:tr>
      <w:tr>
        <w:trPr>
          <w:trHeight w:val="19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 cash and cash equivalents and restricted cash and cash equivalents</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r>
      <w:tr>
        <w:trPr>
          <w:trHeight w:val="219"/>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End of period cash and cash equivalents and restricted cash and cash equivalents</w:t>
            </w: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497</w:t>
            </w:r>
          </w:p>
        </w:tc>
      </w:tr>
      <w:tr>
        <w:trPr>
          <w:trHeight w:val="20"/>
        </w:trPr>
        <w:tc>
          <w:tcPr>
            <w:tcW w:w="8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4"/>
                <w:szCs w:val="4"/>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stock shares</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40" w:type="dxa"/>
            <w:vAlign w:val="bottom"/>
            <w:vMerge w:val="restart"/>
          </w:tcPr>
          <w:p>
            <w:pPr>
              <w:spacing w:after="0"/>
              <w:rPr>
                <w:sz w:val="8"/>
                <w:szCs w:val="8"/>
                <w:color w:val="auto"/>
              </w:rPr>
            </w:pPr>
          </w:p>
        </w:tc>
        <w:tc>
          <w:tcPr>
            <w:tcW w:w="12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rPr>
              <w:t>(a)</w:t>
            </w:r>
          </w:p>
        </w:tc>
        <w:tc>
          <w:tcPr>
            <w:tcW w:w="120" w:type="dxa"/>
            <w:vAlign w:val="bottom"/>
          </w:tcPr>
          <w:p>
            <w:pPr>
              <w:spacing w:after="0"/>
              <w:rPr>
                <w:sz w:val="8"/>
                <w:szCs w:val="8"/>
                <w:color w:val="auto"/>
              </w:rPr>
            </w:pPr>
          </w:p>
        </w:tc>
        <w:tc>
          <w:tcPr>
            <w:tcW w:w="84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capital</w:t>
            </w:r>
          </w:p>
        </w:tc>
        <w:tc>
          <w:tcPr>
            <w:tcW w:w="140" w:type="dxa"/>
            <w:vAlign w:val="bottom"/>
            <w:vMerge w:val="restart"/>
          </w:tcPr>
          <w:p>
            <w:pPr>
              <w:spacing w:after="0"/>
              <w:rPr>
                <w:sz w:val="8"/>
                <w:szCs w:val="8"/>
                <w:color w:val="auto"/>
              </w:rPr>
            </w:pPr>
          </w:p>
        </w:tc>
        <w:tc>
          <w:tcPr>
            <w:tcW w:w="12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earnings (deficit)</w:t>
            </w:r>
          </w:p>
        </w:tc>
        <w:tc>
          <w:tcPr>
            <w:tcW w:w="100" w:type="dxa"/>
            <w:vAlign w:val="bottom"/>
            <w:vMerge w:val="restart"/>
          </w:tcPr>
          <w:p>
            <w:pPr>
              <w:spacing w:after="0"/>
              <w:rPr>
                <w:sz w:val="8"/>
                <w:szCs w:val="8"/>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AOCI</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rPr>
              <w:t>Interests</w:t>
            </w:r>
          </w:p>
        </w:tc>
        <w:tc>
          <w:tcPr>
            <w:tcW w:w="14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128"/>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4"/>
        </w:trPr>
        <w:tc>
          <w:tcPr>
            <w:tcW w:w="346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E1E1E2"/>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20" w:type="dxa"/>
            <w:vAlign w:val="bottom"/>
            <w:tcBorders>
              <w:bottom w:val="single" w:sz="8" w:color="auto"/>
            </w:tcBorders>
            <w:gridSpan w:val="2"/>
            <w:vMerge w:val="continue"/>
          </w:tcPr>
          <w:p>
            <w:pPr>
              <w:spacing w:after="0"/>
              <w:rPr>
                <w:sz w:val="4"/>
                <w:szCs w:val="4"/>
                <w:color w:val="auto"/>
              </w:rPr>
            </w:pPr>
          </w:p>
        </w:tc>
        <w:tc>
          <w:tcPr>
            <w:tcW w:w="100" w:type="dxa"/>
            <w:vAlign w:val="bottom"/>
            <w:tcBorders>
              <w:bottom w:val="single" w:sz="8" w:color="E1E1E2"/>
            </w:tcBorders>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E1E1E2"/>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E1E1E2"/>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2025</w:t>
            </w:r>
          </w:p>
        </w:tc>
        <w:tc>
          <w:tcPr>
            <w:tcW w:w="106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45,688</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1,709</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(612)</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1,093</w:t>
            </w:r>
          </w:p>
        </w:tc>
        <w:tc>
          <w:tcPr>
            <w:tcW w:w="0" w:type="dxa"/>
            <w:vAlign w:val="bottom"/>
          </w:tcPr>
          <w:p>
            <w:pPr>
              <w:spacing w:after="0"/>
              <w:rPr>
                <w:sz w:val="1"/>
                <w:szCs w:val="1"/>
                <w:color w:val="auto"/>
              </w:rPr>
            </w:pPr>
          </w:p>
        </w:tc>
      </w:tr>
      <w:tr>
        <w:trPr>
          <w:trHeight w:val="198"/>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7"/>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1E1E2"/>
          </w:tcPr>
          <w:p>
            <w:pPr>
              <w:spacing w:after="0"/>
              <w:rPr>
                <w:sz w:val="17"/>
                <w:szCs w:val="17"/>
                <w:color w:val="auto"/>
              </w:rPr>
            </w:pPr>
          </w:p>
        </w:tc>
        <w:tc>
          <w:tcPr>
            <w:tcW w:w="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8"/>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60" w:type="dxa"/>
            <w:vAlign w:val="bottom"/>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33"/>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E1E1E2"/>
          </w:tcPr>
          <w:p>
            <w:pPr>
              <w:spacing w:after="0"/>
              <w:rPr>
                <w:sz w:val="20"/>
                <w:szCs w:val="20"/>
                <w:color w:val="auto"/>
              </w:rPr>
            </w:pPr>
          </w:p>
        </w:tc>
        <w:tc>
          <w:tcPr>
            <w:tcW w:w="140" w:type="dxa"/>
            <w:vAlign w:val="bottom"/>
            <w:shd w:val="clear" w:color="auto" w:fill="E1E1E2"/>
          </w:tcPr>
          <w:p>
            <w:pPr>
              <w:spacing w:after="0"/>
              <w:rPr>
                <w:sz w:val="20"/>
                <w:szCs w:val="20"/>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1E1E2"/>
          </w:tcPr>
          <w:p>
            <w:pPr>
              <w:spacing w:after="0"/>
              <w:rPr>
                <w:sz w:val="20"/>
                <w:szCs w:val="20"/>
                <w:color w:val="auto"/>
              </w:rPr>
            </w:pPr>
          </w:p>
        </w:tc>
        <w:tc>
          <w:tcPr>
            <w:tcW w:w="660" w:type="dxa"/>
            <w:vAlign w:val="bottom"/>
            <w:shd w:val="clear" w:color="auto" w:fill="E1E1E2"/>
          </w:tcPr>
          <w:p>
            <w:pPr>
              <w:spacing w:after="0"/>
              <w:rPr>
                <w:sz w:val="20"/>
                <w:szCs w:val="20"/>
                <w:color w:val="auto"/>
              </w:rPr>
            </w:pPr>
          </w:p>
        </w:tc>
        <w:tc>
          <w:tcPr>
            <w:tcW w:w="380" w:type="dxa"/>
            <w:vAlign w:val="bottom"/>
            <w:gridSpan w:val="2"/>
            <w:shd w:val="clear" w:color="auto" w:fill="E1E1E2"/>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E1E1E2"/>
          </w:tcPr>
          <w:p>
            <w:pPr>
              <w:spacing w:after="0"/>
              <w:rPr>
                <w:sz w:val="20"/>
                <w:szCs w:val="20"/>
                <w:color w:val="auto"/>
              </w:rPr>
            </w:pPr>
          </w:p>
        </w:tc>
        <w:tc>
          <w:tcPr>
            <w:tcW w:w="120" w:type="dxa"/>
            <w:vAlign w:val="bottom"/>
            <w:shd w:val="clear" w:color="auto" w:fill="E1E1E2"/>
          </w:tcPr>
          <w:p>
            <w:pPr>
              <w:spacing w:after="0"/>
              <w:rPr>
                <w:sz w:val="20"/>
                <w:szCs w:val="20"/>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20"/>
                <w:szCs w:val="20"/>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incentive plans</w:t>
            </w:r>
          </w:p>
        </w:tc>
        <w:tc>
          <w:tcPr>
            <w:tcW w:w="14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Borders>
              <w:bottom w:val="single" w:sz="8" w:color="E1E1E2"/>
            </w:tcBorders>
            <w:shd w:val="clear" w:color="auto" w:fill="E1E1E2"/>
          </w:tcPr>
          <w:p>
            <w:pPr>
              <w:spacing w:after="0"/>
              <w:rPr>
                <w:sz w:val="19"/>
                <w:szCs w:val="19"/>
                <w:color w:val="auto"/>
              </w:rPr>
            </w:pPr>
          </w:p>
        </w:tc>
        <w:tc>
          <w:tcPr>
            <w:tcW w:w="1060" w:type="dxa"/>
            <w:vAlign w:val="bottom"/>
            <w:tcBorders>
              <w:bottom w:val="single" w:sz="8" w:color="auto"/>
            </w:tcBorders>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45,395</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1,722</w:t>
            </w:r>
          </w:p>
        </w:tc>
        <w:tc>
          <w:tcPr>
            <w:tcW w:w="14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(638)</w:t>
            </w:r>
          </w:p>
        </w:tc>
        <w:tc>
          <w:tcPr>
            <w:tcW w:w="100" w:type="dxa"/>
            <w:vAlign w:val="bottom"/>
            <w:tcBorders>
              <w:bottom w:val="single" w:sz="8" w:color="E1E1E2"/>
            </w:tcBorders>
            <w:shd w:val="clear" w:color="auto" w:fill="E1E1E2"/>
          </w:tcPr>
          <w:p>
            <w:pPr>
              <w:spacing w:after="0"/>
              <w:rPr>
                <w:sz w:val="19"/>
                <w:szCs w:val="19"/>
                <w:color w:val="auto"/>
              </w:rPr>
            </w:pPr>
          </w:p>
        </w:tc>
        <w:tc>
          <w:tcPr>
            <w:tcW w:w="660" w:type="dxa"/>
            <w:vAlign w:val="bottom"/>
            <w:tcBorders>
              <w:bottom w:val="single" w:sz="8" w:color="auto"/>
            </w:tcBorders>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96"/>
              </w:rPr>
              <w:t>(11)</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1,073</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1E1E2"/>
          </w:tcPr>
          <w:p>
            <w:pPr>
              <w:spacing w:after="0"/>
              <w:rPr>
                <w:sz w:val="17"/>
                <w:szCs w:val="17"/>
                <w:color w:val="auto"/>
              </w:rPr>
            </w:pPr>
          </w:p>
        </w:tc>
        <w:tc>
          <w:tcPr>
            <w:tcW w:w="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60" w:type="dxa"/>
            <w:vAlign w:val="bottom"/>
          </w:tcPr>
          <w:p>
            <w:pPr>
              <w:jc w:val="right"/>
              <w:spacing w:after="0"/>
              <w:rPr>
                <w:sz w:val="20"/>
                <w:szCs w:val="20"/>
                <w:color w:val="auto"/>
              </w:rPr>
            </w:pPr>
            <w:r>
              <w:rPr>
                <w:rFonts w:ascii="Arial" w:cs="Arial" w:eastAsia="Arial" w:hAnsi="Arial"/>
                <w:sz w:val="14"/>
                <w:szCs w:val="14"/>
                <w:color w:val="auto"/>
              </w:rPr>
              <w:t>(550)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7"/>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spacing w:after="0"/>
              <w:rPr>
                <w:sz w:val="17"/>
                <w:szCs w:val="17"/>
                <w:color w:val="auto"/>
              </w:rPr>
            </w:pPr>
          </w:p>
        </w:tc>
        <w:tc>
          <w:tcPr>
            <w:tcW w:w="380" w:type="dxa"/>
            <w:vAlign w:val="bottom"/>
            <w:gridSpan w:val="2"/>
            <w:shd w:val="clear" w:color="auto" w:fill="E1E1E2"/>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Common stock issued in business combination</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2,400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7"/>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Changes in equity of noncontrolling interests</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1E1E2"/>
          </w:tcPr>
          <w:p>
            <w:pPr>
              <w:spacing w:after="0"/>
              <w:rPr>
                <w:sz w:val="17"/>
                <w:szCs w:val="17"/>
                <w:color w:val="auto"/>
              </w:rPr>
            </w:pPr>
          </w:p>
        </w:tc>
        <w:tc>
          <w:tcPr>
            <w:tcW w:w="380" w:type="dxa"/>
            <w:vAlign w:val="bottom"/>
            <w:gridSpan w:val="2"/>
            <w:shd w:val="clear" w:color="auto" w:fill="E1E1E2"/>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23</w:t>
            </w:r>
          </w:p>
        </w:tc>
        <w:tc>
          <w:tcPr>
            <w:tcW w:w="14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incentive plans</w:t>
            </w:r>
          </w:p>
        </w:tc>
        <w:tc>
          <w:tcPr>
            <w:tcW w:w="14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655</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2026</w:t>
            </w:r>
          </w:p>
        </w:tc>
        <w:tc>
          <w:tcPr>
            <w:tcW w:w="140" w:type="dxa"/>
            <w:vAlign w:val="bottom"/>
            <w:tcBorders>
              <w:bottom w:val="single" w:sz="8" w:color="E1E1E2"/>
            </w:tcBorders>
            <w:shd w:val="clear" w:color="auto" w:fill="E1E1E2"/>
          </w:tcPr>
          <w:p>
            <w:pPr>
              <w:spacing w:after="0"/>
              <w:rPr>
                <w:sz w:val="19"/>
                <w:szCs w:val="19"/>
                <w:color w:val="auto"/>
              </w:rPr>
            </w:pPr>
          </w:p>
        </w:tc>
        <w:tc>
          <w:tcPr>
            <w:tcW w:w="1060" w:type="dxa"/>
            <w:vAlign w:val="bottom"/>
            <w:tcBorders>
              <w:bottom w:val="single" w:sz="8" w:color="auto"/>
            </w:tcBorders>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47,900</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2,533</w:t>
            </w:r>
          </w:p>
        </w:tc>
        <w:tc>
          <w:tcPr>
            <w:tcW w:w="14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(905)</w:t>
            </w:r>
          </w:p>
        </w:tc>
        <w:tc>
          <w:tcPr>
            <w:tcW w:w="100" w:type="dxa"/>
            <w:vAlign w:val="bottom"/>
            <w:tcBorders>
              <w:bottom w:val="single" w:sz="8" w:color="E1E1E2"/>
            </w:tcBorders>
            <w:shd w:val="clear" w:color="auto" w:fill="E1E1E2"/>
          </w:tcPr>
          <w:p>
            <w:pPr>
              <w:spacing w:after="0"/>
              <w:rPr>
                <w:sz w:val="19"/>
                <w:szCs w:val="19"/>
                <w:color w:val="auto"/>
              </w:rPr>
            </w:pPr>
          </w:p>
        </w:tc>
        <w:tc>
          <w:tcPr>
            <w:tcW w:w="660" w:type="dxa"/>
            <w:vAlign w:val="bottom"/>
            <w:tcBorders>
              <w:bottom w:val="single" w:sz="8" w:color="auto"/>
            </w:tcBorders>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96"/>
              </w:rPr>
              <w:t>(12)</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w:t>
            </w:r>
          </w:p>
        </w:tc>
        <w:tc>
          <w:tcPr>
            <w:tcW w:w="14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1,639</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7"/>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1E1E2"/>
          </w:tcPr>
          <w:p>
            <w:pPr>
              <w:spacing w:after="0"/>
              <w:rPr>
                <w:sz w:val="17"/>
                <w:szCs w:val="17"/>
                <w:color w:val="auto"/>
              </w:rPr>
            </w:pPr>
          </w:p>
        </w:tc>
        <w:tc>
          <w:tcPr>
            <w:tcW w:w="280" w:type="dxa"/>
            <w:vAlign w:val="bottom"/>
            <w:shd w:val="clear" w:color="auto" w:fill="E1E1E2"/>
          </w:tcPr>
          <w:p>
            <w:pPr>
              <w:jc w:val="right"/>
              <w:spacing w:after="0"/>
              <w:rPr>
                <w:sz w:val="20"/>
                <w:szCs w:val="20"/>
                <w:color w:val="auto"/>
              </w:rPr>
            </w:pPr>
            <w:r>
              <w:rPr>
                <w:rFonts w:ascii="Arial" w:cs="Arial" w:eastAsia="Arial" w:hAnsi="Arial"/>
                <w:sz w:val="14"/>
                <w:szCs w:val="14"/>
                <w:color w:val="auto"/>
                <w:w w:val="96"/>
              </w:rPr>
              <w:t>(23)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60" w:type="dxa"/>
            <w:vAlign w:val="bottom"/>
          </w:tcPr>
          <w:p>
            <w:pPr>
              <w:jc w:val="right"/>
              <w:spacing w:after="0"/>
              <w:rPr>
                <w:sz w:val="20"/>
                <w:szCs w:val="20"/>
                <w:color w:val="auto"/>
              </w:rPr>
            </w:pPr>
            <w:r>
              <w:rPr>
                <w:rFonts w:ascii="Arial" w:cs="Arial" w:eastAsia="Arial" w:hAnsi="Arial"/>
                <w:sz w:val="14"/>
                <w:szCs w:val="14"/>
                <w:color w:val="auto"/>
              </w:rPr>
              <w:t>(600)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7"/>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2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spacing w:after="0"/>
              <w:rPr>
                <w:sz w:val="17"/>
                <w:szCs w:val="17"/>
                <w:color w:val="auto"/>
              </w:rPr>
            </w:pPr>
          </w:p>
        </w:tc>
        <w:tc>
          <w:tcPr>
            <w:tcW w:w="380" w:type="dxa"/>
            <w:vAlign w:val="bottom"/>
            <w:gridSpan w:val="2"/>
            <w:shd w:val="clear" w:color="auto" w:fill="E1E1E2"/>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incentive plans</w:t>
            </w:r>
          </w:p>
        </w:tc>
        <w:tc>
          <w:tcPr>
            <w:tcW w:w="14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2026</w:t>
            </w:r>
          </w:p>
        </w:tc>
        <w:tc>
          <w:tcPr>
            <w:tcW w:w="106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47,317</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2,562</w:t>
            </w:r>
          </w:p>
        </w:tc>
        <w:tc>
          <w:tcPr>
            <w:tcW w:w="14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(947)</w:t>
            </w:r>
          </w:p>
        </w:tc>
        <w:tc>
          <w:tcPr>
            <w:tcW w:w="100" w:type="dxa"/>
            <w:vAlign w:val="bottom"/>
            <w:shd w:val="clear" w:color="auto" w:fill="E1E1E2"/>
          </w:tcPr>
          <w:p>
            <w:pPr>
              <w:spacing w:after="0"/>
              <w:rPr>
                <w:sz w:val="19"/>
                <w:szCs w:val="19"/>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96"/>
              </w:rPr>
              <w:t>(35)</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w:t>
            </w:r>
          </w:p>
        </w:tc>
        <w:tc>
          <w:tcPr>
            <w:tcW w:w="14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1,603</w:t>
            </w:r>
          </w:p>
        </w:tc>
        <w:tc>
          <w:tcPr>
            <w:tcW w:w="0" w:type="dxa"/>
            <w:vAlign w:val="bottom"/>
          </w:tcPr>
          <w:p>
            <w:pPr>
              <w:spacing w:after="0"/>
              <w:rPr>
                <w:sz w:val="1"/>
                <w:szCs w:val="1"/>
                <w:color w:val="auto"/>
              </w:rPr>
            </w:pP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stock shares</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8"/>
                <w:szCs w:val="8"/>
                <w:color w:val="auto"/>
              </w:rPr>
            </w:pPr>
          </w:p>
        </w:tc>
        <w:tc>
          <w:tcPr>
            <w:tcW w:w="118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8"/>
                <w:szCs w:val="8"/>
                <w:color w:val="auto"/>
              </w:rPr>
            </w:pPr>
          </w:p>
        </w:tc>
        <w:tc>
          <w:tcPr>
            <w:tcW w:w="840" w:type="dxa"/>
            <w:vAlign w:val="bottom"/>
            <w:vMerge w:val="restart"/>
          </w:tcPr>
          <w:p>
            <w:pPr>
              <w:jc w:val="right"/>
              <w:ind w:right="18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vMerge w:val="restart"/>
          </w:tcPr>
          <w:p>
            <w:pPr>
              <w:spacing w:after="0"/>
              <w:rPr>
                <w:sz w:val="8"/>
                <w:szCs w:val="8"/>
                <w:color w:val="auto"/>
              </w:rPr>
            </w:pPr>
          </w:p>
        </w:tc>
        <w:tc>
          <w:tcPr>
            <w:tcW w:w="12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earnings (deficit)</w:t>
            </w:r>
          </w:p>
        </w:tc>
        <w:tc>
          <w:tcPr>
            <w:tcW w:w="140" w:type="dxa"/>
            <w:vAlign w:val="bottom"/>
            <w:vMerge w:val="restart"/>
          </w:tcPr>
          <w:p>
            <w:pPr>
              <w:spacing w:after="0"/>
              <w:rPr>
                <w:sz w:val="8"/>
                <w:szCs w:val="8"/>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AOCI</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40" w:type="dxa"/>
            <w:vAlign w:val="bottom"/>
            <w:vMerge w:val="restart"/>
          </w:tcPr>
          <w:p>
            <w:pPr>
              <w:spacing w:after="0"/>
              <w:rPr>
                <w:sz w:val="8"/>
                <w:szCs w:val="8"/>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54"/>
        </w:trPr>
        <w:tc>
          <w:tcPr>
            <w:tcW w:w="44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E1E1E2"/>
            </w:tcBorders>
            <w:vMerge w:val="continue"/>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E1E1E2"/>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20" w:type="dxa"/>
            <w:vAlign w:val="bottom"/>
            <w:tcBorders>
              <w:bottom w:val="single" w:sz="8" w:color="auto"/>
            </w:tcBorders>
            <w:gridSpan w:val="2"/>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E1E1E2"/>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4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45,962</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1,725</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center"/>
              <w:ind w:left="628"/>
              <w:spacing w:after="0"/>
              <w:rPr>
                <w:sz w:val="20"/>
                <w:szCs w:val="20"/>
                <w:color w:val="auto"/>
              </w:rPr>
            </w:pPr>
            <w:r>
              <w:rPr>
                <w:rFonts w:ascii="Arial" w:cs="Arial" w:eastAsia="Arial" w:hAnsi="Arial"/>
                <w:sz w:val="14"/>
                <w:szCs w:val="14"/>
                <w:b w:val="1"/>
                <w:bCs w:val="1"/>
                <w:color w:val="auto"/>
              </w:rPr>
              <w:t>(326)</w:t>
            </w:r>
          </w:p>
        </w:tc>
        <w:tc>
          <w:tcPr>
            <w:tcW w:w="14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96"/>
              </w:rPr>
              <w:t>(12)</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1,387</w:t>
            </w:r>
          </w:p>
        </w:tc>
        <w:tc>
          <w:tcPr>
            <w:tcW w:w="0" w:type="dxa"/>
            <w:vAlign w:val="bottom"/>
          </w:tcPr>
          <w:p>
            <w:pPr>
              <w:spacing w:after="0"/>
              <w:rPr>
                <w:sz w:val="1"/>
                <w:szCs w:val="1"/>
                <w:color w:val="auto"/>
              </w:rPr>
            </w:pPr>
          </w:p>
        </w:tc>
      </w:tr>
      <w:tr>
        <w:trPr>
          <w:trHeight w:val="198"/>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center"/>
              <w:ind w:left="628"/>
              <w:spacing w:after="0"/>
              <w:rPr>
                <w:sz w:val="20"/>
                <w:szCs w:val="20"/>
                <w:color w:val="auto"/>
              </w:rPr>
            </w:pPr>
            <w:r>
              <w:rPr>
                <w:rFonts w:ascii="Arial" w:cs="Arial" w:eastAsia="Arial" w:hAnsi="Arial"/>
                <w:sz w:val="14"/>
                <w:szCs w:val="14"/>
                <w:color w:val="auto"/>
              </w:rPr>
              <w:t>(135)</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7"/>
        </w:trPr>
        <w:tc>
          <w:tcPr>
            <w:tcW w:w="45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40" w:type="dxa"/>
            <w:vAlign w:val="bottom"/>
          </w:tcPr>
          <w:p>
            <w:pPr>
              <w:jc w:val="right"/>
              <w:spacing w:after="0"/>
              <w:rPr>
                <w:sz w:val="20"/>
                <w:szCs w:val="20"/>
                <w:color w:val="auto"/>
              </w:rPr>
            </w:pPr>
            <w:r>
              <w:rPr>
                <w:rFonts w:ascii="Arial" w:cs="Arial" w:eastAsia="Arial" w:hAnsi="Arial"/>
                <w:sz w:val="14"/>
                <w:szCs w:val="14"/>
                <w:color w:val="auto"/>
              </w:rPr>
              <w:t>(452)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Borders>
              <w:bottom w:val="single" w:sz="8" w:color="E1E1E2"/>
            </w:tcBorders>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180" w:type="dxa"/>
            <w:vAlign w:val="bottom"/>
            <w:tcBorders>
              <w:bottom w:val="single" w:sz="8" w:color="E1E1E2"/>
            </w:tcBorders>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tcBorders>
            <w:shd w:val="clear" w:color="auto" w:fill="E1E1E2"/>
          </w:tcPr>
          <w:p>
            <w:pPr>
              <w:spacing w:after="0"/>
              <w:rPr>
                <w:sz w:val="18"/>
                <w:szCs w:val="18"/>
                <w:color w:val="auto"/>
              </w:rPr>
            </w:pPr>
          </w:p>
        </w:tc>
        <w:tc>
          <w:tcPr>
            <w:tcW w:w="840" w:type="dxa"/>
            <w:vAlign w:val="bottom"/>
            <w:tcBorders>
              <w:bottom w:val="single" w:sz="8" w:color="E1E1E2"/>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E1E1E2"/>
            </w:tcBorders>
            <w:shd w:val="clear" w:color="auto" w:fill="E1E1E2"/>
          </w:tcPr>
          <w:p>
            <w:pPr>
              <w:spacing w:after="0"/>
              <w:rPr>
                <w:sz w:val="18"/>
                <w:szCs w:val="18"/>
                <w:color w:val="auto"/>
              </w:rPr>
            </w:pPr>
          </w:p>
        </w:tc>
        <w:tc>
          <w:tcPr>
            <w:tcW w:w="140" w:type="dxa"/>
            <w:vAlign w:val="bottom"/>
            <w:tcBorders>
              <w:bottom w:val="single" w:sz="8" w:color="E1E1E2"/>
            </w:tcBorders>
            <w:shd w:val="clear" w:color="auto" w:fill="E1E1E2"/>
          </w:tcPr>
          <w:p>
            <w:pPr>
              <w:spacing w:after="0"/>
              <w:rPr>
                <w:sz w:val="18"/>
                <w:szCs w:val="18"/>
                <w:color w:val="auto"/>
              </w:rPr>
            </w:pPr>
          </w:p>
        </w:tc>
        <w:tc>
          <w:tcPr>
            <w:tcW w:w="1080" w:type="dxa"/>
            <w:vAlign w:val="bottom"/>
            <w:tcBorders>
              <w:bottom w:val="single" w:sz="8" w:color="E1E1E2"/>
            </w:tcBorders>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40" w:type="dxa"/>
            <w:vAlign w:val="bottom"/>
            <w:tcBorders>
              <w:bottom w:val="single" w:sz="8" w:color="E1E1E2"/>
            </w:tcBorders>
            <w:shd w:val="clear" w:color="auto" w:fill="E1E1E2"/>
          </w:tcPr>
          <w:p>
            <w:pPr>
              <w:spacing w:after="0"/>
              <w:rPr>
                <w:sz w:val="18"/>
                <w:szCs w:val="18"/>
                <w:color w:val="auto"/>
              </w:rPr>
            </w:pPr>
          </w:p>
        </w:tc>
        <w:tc>
          <w:tcPr>
            <w:tcW w:w="660" w:type="dxa"/>
            <w:vAlign w:val="bottom"/>
            <w:tcBorders>
              <w:bottom w:val="single" w:sz="8" w:color="E1E1E2"/>
            </w:tcBorders>
            <w:shd w:val="clear" w:color="auto" w:fill="E1E1E2"/>
          </w:tcPr>
          <w:p>
            <w:pPr>
              <w:spacing w:after="0"/>
              <w:rPr>
                <w:sz w:val="18"/>
                <w:szCs w:val="18"/>
                <w:color w:val="auto"/>
              </w:rPr>
            </w:pPr>
          </w:p>
        </w:tc>
        <w:tc>
          <w:tcPr>
            <w:tcW w:w="440" w:type="dxa"/>
            <w:vAlign w:val="bottom"/>
            <w:tcBorders>
              <w:bottom w:val="single" w:sz="8" w:color="E1E1E2"/>
            </w:tcBorders>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tcBorders>
            <w:shd w:val="clear" w:color="auto" w:fill="E1E1E2"/>
          </w:tcPr>
          <w:p>
            <w:pPr>
              <w:spacing w:after="0"/>
              <w:rPr>
                <w:sz w:val="18"/>
                <w:szCs w:val="18"/>
                <w:color w:val="auto"/>
              </w:rPr>
            </w:pPr>
          </w:p>
        </w:tc>
        <w:tc>
          <w:tcPr>
            <w:tcW w:w="780" w:type="dxa"/>
            <w:vAlign w:val="bottom"/>
            <w:tcBorders>
              <w:bottom w:val="single" w:sz="8" w:color="E1E1E2"/>
            </w:tcBorders>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140" w:type="dxa"/>
            <w:vAlign w:val="bottom"/>
            <w:tcBorders>
              <w:bottom w:val="single" w:sz="8" w:color="E1E1E2"/>
            </w:tcBorders>
            <w:shd w:val="clear" w:color="auto" w:fill="E1E1E2"/>
          </w:tcPr>
          <w:p>
            <w:pPr>
              <w:spacing w:after="0"/>
              <w:rPr>
                <w:sz w:val="18"/>
                <w:szCs w:val="18"/>
                <w:color w:val="auto"/>
              </w:rPr>
            </w:pPr>
          </w:p>
        </w:tc>
        <w:tc>
          <w:tcPr>
            <w:tcW w:w="260" w:type="dxa"/>
            <w:vAlign w:val="bottom"/>
            <w:tcBorders>
              <w:bottom w:val="single" w:sz="8" w:color="E1E1E2"/>
            </w:tcBorders>
            <w:shd w:val="clear" w:color="auto" w:fill="E1E1E2"/>
          </w:tcPr>
          <w:p>
            <w:pPr>
              <w:spacing w:after="0"/>
              <w:rPr>
                <w:sz w:val="18"/>
                <w:szCs w:val="18"/>
                <w:color w:val="auto"/>
              </w:rPr>
            </w:pPr>
          </w:p>
        </w:tc>
        <w:tc>
          <w:tcPr>
            <w:tcW w:w="600" w:type="dxa"/>
            <w:vAlign w:val="bottom"/>
            <w:tcBorders>
              <w:bottom w:val="single" w:sz="8" w:color="E1E1E2"/>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9"/>
        </w:trPr>
        <w:tc>
          <w:tcPr>
            <w:tcW w:w="44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E1E1E2"/>
            </w:tcBorders>
            <w:shd w:val="clear" w:color="auto" w:fill="E1E1E2"/>
          </w:tcPr>
          <w:p>
            <w:pPr>
              <w:spacing w:after="0"/>
              <w:rPr>
                <w:sz w:val="19"/>
                <w:szCs w:val="19"/>
                <w:color w:val="auto"/>
              </w:rPr>
            </w:pPr>
          </w:p>
        </w:tc>
        <w:tc>
          <w:tcPr>
            <w:tcW w:w="1040" w:type="dxa"/>
            <w:vAlign w:val="bottom"/>
            <w:tcBorders>
              <w:bottom w:val="single" w:sz="8" w:color="auto"/>
            </w:tcBorders>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45,510</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1,718</w:t>
            </w:r>
          </w:p>
        </w:tc>
        <w:tc>
          <w:tcPr>
            <w:tcW w:w="14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center"/>
              <w:ind w:left="628"/>
              <w:spacing w:after="0"/>
              <w:rPr>
                <w:sz w:val="20"/>
                <w:szCs w:val="20"/>
                <w:color w:val="auto"/>
              </w:rPr>
            </w:pPr>
            <w:r>
              <w:rPr>
                <w:rFonts w:ascii="Arial" w:cs="Arial" w:eastAsia="Arial" w:hAnsi="Arial"/>
                <w:sz w:val="14"/>
                <w:szCs w:val="14"/>
                <w:b w:val="1"/>
                <w:bCs w:val="1"/>
                <w:color w:val="auto"/>
              </w:rPr>
              <w:t>(528)</w:t>
            </w:r>
          </w:p>
        </w:tc>
        <w:tc>
          <w:tcPr>
            <w:tcW w:w="140" w:type="dxa"/>
            <w:vAlign w:val="bottom"/>
            <w:tcBorders>
              <w:bottom w:val="single" w:sz="8" w:color="E1E1E2"/>
            </w:tcBorders>
            <w:shd w:val="clear" w:color="auto" w:fill="E1E1E2"/>
          </w:tcPr>
          <w:p>
            <w:pPr>
              <w:spacing w:after="0"/>
              <w:rPr>
                <w:sz w:val="19"/>
                <w:szCs w:val="19"/>
                <w:color w:val="auto"/>
              </w:rPr>
            </w:pPr>
          </w:p>
        </w:tc>
        <w:tc>
          <w:tcPr>
            <w:tcW w:w="660" w:type="dxa"/>
            <w:vAlign w:val="bottom"/>
            <w:tcBorders>
              <w:bottom w:val="single" w:sz="8" w:color="auto"/>
            </w:tcBorders>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96"/>
              </w:rPr>
              <w:t>(10)</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1,180</w:t>
            </w:r>
          </w:p>
        </w:tc>
        <w:tc>
          <w:tcPr>
            <w:tcW w:w="0" w:type="dxa"/>
            <w:vAlign w:val="bottom"/>
          </w:tcPr>
          <w:p>
            <w:pPr>
              <w:spacing w:after="0"/>
              <w:rPr>
                <w:sz w:val="1"/>
                <w:szCs w:val="1"/>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7"/>
        </w:trPr>
        <w:tc>
          <w:tcPr>
            <w:tcW w:w="45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80" w:type="dxa"/>
            <w:vAlign w:val="bottom"/>
            <w:gridSpan w:val="2"/>
            <w:shd w:val="clear" w:color="auto" w:fill="E1E1E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center"/>
              <w:ind w:left="488"/>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ind w:left="5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149</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1E1E2"/>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44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bottom w:val="single" w:sz="8" w:color="E1E1E2"/>
            </w:tcBorders>
            <w:shd w:val="clear" w:color="auto" w:fill="E1E1E2"/>
          </w:tcPr>
          <w:p>
            <w:pPr>
              <w:spacing w:after="0"/>
              <w:rPr>
                <w:sz w:val="19"/>
                <w:szCs w:val="19"/>
                <w:color w:val="auto"/>
              </w:rPr>
            </w:pPr>
          </w:p>
        </w:tc>
        <w:tc>
          <w:tcPr>
            <w:tcW w:w="1040" w:type="dxa"/>
            <w:vAlign w:val="bottom"/>
            <w:tcBorders>
              <w:bottom w:val="single" w:sz="8" w:color="auto"/>
            </w:tcBorders>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45,659</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1,711</w:t>
            </w:r>
          </w:p>
        </w:tc>
        <w:tc>
          <w:tcPr>
            <w:tcW w:w="14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center"/>
              <w:ind w:left="628"/>
              <w:spacing w:after="0"/>
              <w:rPr>
                <w:sz w:val="20"/>
                <w:szCs w:val="20"/>
                <w:color w:val="auto"/>
              </w:rPr>
            </w:pPr>
            <w:r>
              <w:rPr>
                <w:rFonts w:ascii="Arial" w:cs="Arial" w:eastAsia="Arial" w:hAnsi="Arial"/>
                <w:sz w:val="14"/>
                <w:szCs w:val="14"/>
                <w:b w:val="1"/>
                <w:bCs w:val="1"/>
                <w:color w:val="auto"/>
              </w:rPr>
              <w:t>(456)</w:t>
            </w:r>
          </w:p>
        </w:tc>
        <w:tc>
          <w:tcPr>
            <w:tcW w:w="140" w:type="dxa"/>
            <w:vAlign w:val="bottom"/>
            <w:tcBorders>
              <w:bottom w:val="single" w:sz="8" w:color="E1E1E2"/>
            </w:tcBorders>
            <w:shd w:val="clear" w:color="auto" w:fill="E1E1E2"/>
          </w:tcPr>
          <w:p>
            <w:pPr>
              <w:spacing w:after="0"/>
              <w:rPr>
                <w:sz w:val="19"/>
                <w:szCs w:val="19"/>
                <w:color w:val="auto"/>
              </w:rPr>
            </w:pPr>
          </w:p>
        </w:tc>
        <w:tc>
          <w:tcPr>
            <w:tcW w:w="660" w:type="dxa"/>
            <w:vAlign w:val="bottom"/>
            <w:tcBorders>
              <w:bottom w:val="single" w:sz="8" w:color="auto"/>
            </w:tcBorders>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6"/>
        </w:trPr>
        <w:tc>
          <w:tcPr>
            <w:tcW w:w="45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9"/>
        </w:trPr>
        <w:tc>
          <w:tcPr>
            <w:tcW w:w="45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2025</w:t>
            </w:r>
          </w:p>
        </w:tc>
        <w:tc>
          <w:tcPr>
            <w:tcW w:w="104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45,688</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1,726</w:t>
            </w:r>
          </w:p>
        </w:tc>
        <w:tc>
          <w:tcPr>
            <w:tcW w:w="14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center"/>
              <w:ind w:left="628"/>
              <w:spacing w:after="0"/>
              <w:rPr>
                <w:sz w:val="20"/>
                <w:szCs w:val="20"/>
                <w:color w:val="auto"/>
              </w:rPr>
            </w:pPr>
            <w:r>
              <w:rPr>
                <w:rFonts w:ascii="Arial" w:cs="Arial" w:eastAsia="Arial" w:hAnsi="Arial"/>
                <w:sz w:val="14"/>
                <w:szCs w:val="14"/>
                <w:b w:val="1"/>
                <w:bCs w:val="1"/>
                <w:color w:val="auto"/>
              </w:rPr>
              <w:t>(249)</w:t>
            </w:r>
          </w:p>
        </w:tc>
        <w:tc>
          <w:tcPr>
            <w:tcW w:w="140" w:type="dxa"/>
            <w:vAlign w:val="bottom"/>
            <w:shd w:val="clear" w:color="auto" w:fill="E1E1E2"/>
          </w:tcPr>
          <w:p>
            <w:pPr>
              <w:spacing w:after="0"/>
              <w:rPr>
                <w:sz w:val="19"/>
                <w:szCs w:val="19"/>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1,469</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INTERIM FINANCIAL STATEMENTS (UNAUDITED)</w:t>
      </w:r>
    </w:p>
    <w:p>
      <w:pPr>
        <w:spacing w:after="0" w:line="18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Capitalized terms and abbreviations appearing in these Notes to the Interim Financial Statements are defined in the glossary. Dollars are in millions, unless otherwise noted.</w:t>
      </w:r>
    </w:p>
    <w:p>
      <w:pPr>
        <w:spacing w:after="0" w:line="115"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“TEC” refers to Talen Energy Corporation. “TES” refers to Talen Energy Supply, LLC.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Business, Basis of Presentation, and Summary of Significant Accounting Policies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Organization and Operations</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15.5 GW of power infrastructure in the United States, including 2.2 GW of nuclear power and a significant dispatchable fossil fleet. We produce and sell electricity, capacity, and ancillary services into wholesale U.S. power markets, with generation in the Mid-Atlantic, Ohio, Indiana, and Montana. Talen is headquartered in Houston, Texas.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65" w:lineRule="exact"/>
        <w:rPr>
          <w:sz w:val="20"/>
          <w:szCs w:val="20"/>
          <w:color w:val="auto"/>
        </w:rPr>
      </w:pPr>
    </w:p>
    <w:p>
      <w:pPr>
        <w:ind w:right="100" w:firstLine="324"/>
        <w:spacing w:after="0" w:line="258" w:lineRule="auto"/>
        <w:rPr>
          <w:sz w:val="20"/>
          <w:szCs w:val="20"/>
          <w:color w:val="auto"/>
        </w:rPr>
      </w:pPr>
      <w:r>
        <w:rPr>
          <w:rFonts w:ascii="Arial" w:cs="Arial" w:eastAsia="Arial" w:hAnsi="Arial"/>
          <w:sz w:val="16"/>
          <w:szCs w:val="16"/>
          <w:color w:val="auto"/>
        </w:rPr>
        <w:t>These Interim Financial Statements, which are prepared in accordance with GAAP and pursuant to the rules and regulations of the U.S. Securities and Exchange Commission (the “SEC”) for Quarterly Reports on Form 10-Q, include: (i) the accounts of all controlled subsidiaries, including variable interest entities for which we are the primary beneficiary; (ii) elimination adjustments for intercompany transactions between controlled subsidiaries; (iii) any undivided interests in jointly owned facilities consolidated on a proportionate basis; and (iv) 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These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spacing w:after="0" w:line="137" w:lineRule="exact"/>
        <w:rPr>
          <w:sz w:val="20"/>
          <w:szCs w:val="20"/>
          <w:color w:val="auto"/>
        </w:rPr>
      </w:pPr>
    </w:p>
    <w:p>
      <w:pPr>
        <w:ind w:right="660" w:firstLine="324"/>
        <w:spacing w:after="0" w:line="286"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10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 to the Annual Financial Statements for additional information on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Risk Management, Derivative Instruments, and Hedging Activities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Risk Management Objectives</w:t>
      </w:r>
    </w:p>
    <w:p>
      <w:pPr>
        <w:spacing w:after="0" w:line="16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18" w:lineRule="exact"/>
        <w:rPr>
          <w:sz w:val="20"/>
          <w:szCs w:val="20"/>
          <w:color w:val="auto"/>
        </w:rPr>
      </w:pPr>
    </w:p>
    <w:p>
      <w:pPr>
        <w:ind w:right="640" w:firstLine="324"/>
        <w:spacing w:after="0" w:line="286"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earnings and cash flows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 market liquidity; and (vi) federal, regional, and state regulations.</w:t>
      </w:r>
    </w:p>
    <w:p>
      <w:pPr>
        <w:spacing w:after="0" w:line="155"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commodity purchase (sales) derivatives range in maturity through 2033. The net notional volumes of commodity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9"/>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2026 </w:t>
            </w:r>
            <w:r>
              <w:rPr>
                <w:rFonts w:ascii="Arial" w:cs="Arial" w:eastAsia="Arial" w:hAnsi="Arial"/>
                <w:sz w:val="9"/>
                <w:szCs w:val="9"/>
                <w:b w:val="1"/>
                <w:bCs w:val="1"/>
                <w:color w:val="auto"/>
              </w:rPr>
              <w:t>(a)</w:t>
            </w:r>
          </w:p>
        </w:tc>
        <w:tc>
          <w:tcPr>
            <w:tcW w:w="80" w:type="dxa"/>
            <w:vAlign w:val="bottom"/>
            <w:tcBorders>
              <w:bottom w:val="single" w:sz="8" w:color="E1E1E2"/>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r>
      <w:tr>
        <w:trPr>
          <w:trHeight w:val="199"/>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(82,616,910)</w:t>
            </w:r>
          </w:p>
        </w:tc>
        <w:tc>
          <w:tcPr>
            <w:tcW w:w="80" w:type="dxa"/>
            <w:vAlign w:val="bottom"/>
            <w:shd w:val="clear" w:color="auto" w:fill="E1E1E2"/>
          </w:tcPr>
          <w:p>
            <w:pPr>
              <w:spacing w:after="0"/>
              <w:rPr>
                <w:sz w:val="17"/>
                <w:szCs w:val="17"/>
                <w:color w:val="auto"/>
              </w:rPr>
            </w:pPr>
          </w:p>
        </w:tc>
        <w:tc>
          <w:tcPr>
            <w:tcW w:w="1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(59,634,723)</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Natural gas (MMBtu)</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253,213,772</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169,209,022</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volumes may be different than the contractual volumes, as the probability that option contracts will be exercised is considered in the volumes displayed.</w:t>
      </w:r>
    </w:p>
    <w:p>
      <w:pPr>
        <w:spacing w:after="0" w:line="16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interest rate derivatives range in maturity through 2029. The net notional volumes of open interest rate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2"/>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700</w:t>
            </w:r>
          </w:p>
        </w:tc>
        <w:tc>
          <w:tcPr>
            <w:tcW w:w="8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990</w:t>
            </w:r>
          </w:p>
        </w:tc>
      </w:tr>
    </w:tbl>
    <w:p>
      <w:pPr>
        <w:spacing w:after="0" w:line="229"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13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321" w:lineRule="exact"/>
        <w:rPr>
          <w:sz w:val="20"/>
          <w:szCs w:val="20"/>
          <w:color w:val="auto"/>
        </w:rPr>
      </w:pPr>
    </w:p>
    <w:p>
      <w:pPr>
        <w:ind w:right="200" w:firstLine="324"/>
        <w:spacing w:after="0" w:line="265"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September 30, 2026 and December 31, 2025.</w:t>
      </w:r>
    </w:p>
    <w:p>
      <w:pPr>
        <w:spacing w:after="0" w:line="11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6"/>
          <w:szCs w:val="16"/>
          <w:color w:val="auto"/>
        </w:rPr>
        <w:t>As of September 30, 2026, Talen’s aggregate credit exposure, which excludes the effects of netting arrangements, cash collateral, LCs, and any allowances for doubtful collections, was $1.3 billion and its credit exposure including such netting effects was $70 million. Excluding ISO and RTO counterparties, whose accounts receivable settlements and congestion products are subject to applicable market controls, the ten largest single net credit exposures account for 89% of Talen’s total net credit exposure, which primarily relate to entities with investment grade credit ratings.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September 30, 2026 and December 31, 2025.</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 2026</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4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E1E1E2"/>
          </w:tcPr>
          <w:p>
            <w:pPr>
              <w:spacing w:after="0"/>
              <w:rPr>
                <w:sz w:val="17"/>
                <w:szCs w:val="17"/>
                <w:color w:val="auto"/>
              </w:rPr>
            </w:pPr>
          </w:p>
        </w:tc>
        <w:tc>
          <w:tcPr>
            <w:tcW w:w="1140" w:type="dxa"/>
            <w:vAlign w:val="bottom"/>
            <w:shd w:val="clear" w:color="auto" w:fill="E1E1E2"/>
          </w:tcPr>
          <w:p>
            <w:pPr>
              <w:jc w:val="right"/>
              <w:ind w:right="9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1100" w:type="dxa"/>
            <w:vAlign w:val="bottom"/>
            <w:shd w:val="clear" w:color="auto" w:fill="E1E1E2"/>
          </w:tcPr>
          <w:p>
            <w:pPr>
              <w:spacing w:after="0"/>
              <w:rPr>
                <w:sz w:val="17"/>
                <w:szCs w:val="17"/>
                <w:color w:val="auto"/>
              </w:rPr>
            </w:pP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617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101</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100" w:type="dxa"/>
            <w:vAlign w:val="bottom"/>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spacing w:after="0"/>
              <w:rPr>
                <w:sz w:val="17"/>
                <w:szCs w:val="17"/>
                <w:color w:val="auto"/>
              </w:rPr>
            </w:pPr>
          </w:p>
        </w:tc>
        <w:tc>
          <w:tcPr>
            <w:tcW w:w="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b w:val="1"/>
                <w:bCs w:val="1"/>
                <w:color w:val="auto"/>
              </w:rPr>
              <w:t>243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2"/>
        </w:trPr>
        <w:tc>
          <w:tcPr>
            <w:tcW w:w="4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Changes in the fair value and realized settlements on interest rate derivative instruments are presented as “Interest expense and other finance charges” on the Consolidated Statements of Operations. See Note 11 for additional information on fair value of commodity and interest rate derivatives.</w:t>
      </w:r>
    </w:p>
    <w:p>
      <w:pPr>
        <w:spacing w:after="0" w:line="137" w:lineRule="exact"/>
        <w:rPr>
          <w:sz w:val="20"/>
          <w:szCs w:val="20"/>
          <w:color w:val="auto"/>
        </w:rPr>
      </w:pPr>
    </w:p>
    <w:p>
      <w:pPr>
        <w:ind w:right="220" w:firstLine="324"/>
        <w:spacing w:after="0" w:line="266"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September 30, 2026 and December 31, 2025.</w:t>
      </w:r>
    </w:p>
    <w:p>
      <w:pPr>
        <w:spacing w:after="0" w:line="13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(780)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01"/>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1E1E2"/>
          </w:tcPr>
          <w:p>
            <w:pPr>
              <w:ind w:left="940"/>
              <w:spacing w:after="0"/>
              <w:rPr>
                <w:sz w:val="20"/>
                <w:szCs w:val="20"/>
                <w:color w:val="auto"/>
              </w:rPr>
            </w:pPr>
            <w:r>
              <w:rPr>
                <w:rFonts w:ascii="Arial" w:cs="Arial" w:eastAsia="Arial" w:hAnsi="Arial"/>
                <w:sz w:val="14"/>
                <w:szCs w:val="14"/>
                <w:color w:val="auto"/>
              </w:rPr>
              <w:t>—</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the periods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revenues </w:t>
            </w:r>
            <w:r>
              <w:rPr>
                <w:rFonts w:ascii="Arial" w:cs="Arial" w:eastAsia="Arial" w:hAnsi="Arial"/>
                <w:sz w:val="18"/>
                <w:szCs w:val="18"/>
                <w:color w:val="auto"/>
                <w:vertAlign w:val="superscript"/>
              </w:rPr>
              <w:t>(a)</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808"/>
              <w:spacing w:after="0"/>
              <w:rPr>
                <w:sz w:val="20"/>
                <w:szCs w:val="20"/>
                <w:color w:val="auto"/>
              </w:rPr>
            </w:pPr>
            <w:r>
              <w:rPr>
                <w:rFonts w:ascii="Arial" w:cs="Arial" w:eastAsia="Arial" w:hAnsi="Arial"/>
                <w:sz w:val="14"/>
                <w:szCs w:val="14"/>
                <w:color w:val="auto"/>
              </w:rPr>
              <w:t>88</w:t>
            </w:r>
          </w:p>
        </w:tc>
      </w:tr>
      <w:tr>
        <w:trPr>
          <w:trHeight w:val="203"/>
        </w:trPr>
        <w:tc>
          <w:tcPr>
            <w:tcW w:w="49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18"/>
                <w:szCs w:val="18"/>
                <w:color w:val="auto"/>
                <w:vertAlign w:val="superscript"/>
              </w:rPr>
              <w:t>(a)</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96"/>
              </w:rPr>
              <w:t>(36)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center"/>
              <w:ind w:left="788"/>
              <w:spacing w:after="0"/>
              <w:rPr>
                <w:sz w:val="20"/>
                <w:szCs w:val="20"/>
                <w:color w:val="auto"/>
              </w:rPr>
            </w:pPr>
            <w:r>
              <w:rPr>
                <w:rFonts w:ascii="Arial" w:cs="Arial" w:eastAsia="Arial" w:hAnsi="Arial"/>
                <w:sz w:val="14"/>
                <w:szCs w:val="14"/>
                <w:color w:val="auto"/>
              </w:rPr>
              <w:t>(17)</w:t>
            </w:r>
          </w:p>
        </w:tc>
      </w:tr>
      <w:tr>
        <w:trPr>
          <w:trHeight w:val="201"/>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4940" w:type="dxa"/>
            <w:vAlign w:val="bottom"/>
            <w:gridSpan w:val="2"/>
            <w:shd w:val="clear" w:color="auto" w:fill="E1E1E2"/>
          </w:tcPr>
          <w:p>
            <w:pPr>
              <w:ind w:left="20"/>
              <w:spacing w:after="0" w:line="203"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(b)</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center"/>
              <w:ind w:left="788"/>
              <w:spacing w:after="0"/>
              <w:rPr>
                <w:sz w:val="20"/>
                <w:szCs w:val="20"/>
                <w:color w:val="auto"/>
              </w:rPr>
            </w:pPr>
            <w:r>
              <w:rPr>
                <w:rFonts w:ascii="Arial" w:cs="Arial" w:eastAsia="Arial" w:hAnsi="Arial"/>
                <w:sz w:val="14"/>
                <w:szCs w:val="14"/>
                <w:color w:val="auto"/>
              </w:rPr>
              <w:t>(23)</w:t>
            </w: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expenses </w:t>
            </w:r>
            <w:r>
              <w:rPr>
                <w:rFonts w:ascii="Arial" w:cs="Arial" w:eastAsia="Arial" w:hAnsi="Arial"/>
                <w:sz w:val="18"/>
                <w:szCs w:val="18"/>
                <w:color w:val="auto"/>
                <w:vertAlign w:val="superscript"/>
              </w:rPr>
              <w:t>(b)</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center"/>
              <w:ind w:left="788"/>
              <w:spacing w:after="0"/>
              <w:rPr>
                <w:sz w:val="20"/>
                <w:szCs w:val="20"/>
                <w:color w:val="auto"/>
              </w:rPr>
            </w:pPr>
            <w:r>
              <w:rPr>
                <w:rFonts w:ascii="Arial" w:cs="Arial" w:eastAsia="Arial" w:hAnsi="Arial"/>
                <w:sz w:val="14"/>
                <w:szCs w:val="14"/>
                <w:color w:val="auto"/>
              </w:rPr>
              <w:t>(31)</w:t>
            </w:r>
          </w:p>
        </w:tc>
      </w:tr>
      <w:tr>
        <w:trPr>
          <w:trHeight w:val="203"/>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rPr>
              <w:t>(13)</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operating revenues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496</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3,246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1,385</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72</w:t>
            </w: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697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1,760</w:t>
            </w:r>
          </w:p>
        </w:tc>
      </w:tr>
      <w:tr>
        <w:trPr>
          <w:trHeight w:val="204"/>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10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19"/>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1,327</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812</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3,203</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1,832</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160</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19"/>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304</w:t>
            </w:r>
          </w:p>
        </w:tc>
        <w:tc>
          <w:tcPr>
            <w:tcW w:w="8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196</w:t>
            </w:r>
          </w:p>
        </w:tc>
      </w:tr>
      <w:tr>
        <w:trPr>
          <w:trHeight w:val="20"/>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During the nine months ended September 30, 2026 and 2025, there were no significant changes in accounts receivable other than normal receivable recognition and collection transactions. See Note 2 for additional information on Talen’s credit risk on the carrying value of its receivables.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280" w:firstLine="324"/>
        <w:spacing w:after="0" w:line="275" w:lineRule="auto"/>
        <w:rPr>
          <w:sz w:val="20"/>
          <w:szCs w:val="20"/>
          <w:color w:val="auto"/>
        </w:rPr>
      </w:pPr>
      <w:r>
        <w:rPr>
          <w:rFonts w:ascii="Arial" w:cs="Arial" w:eastAsia="Arial" w:hAnsi="Arial"/>
          <w:sz w:val="16"/>
          <w:szCs w:val="16"/>
          <w:color w:val="auto"/>
        </w:rPr>
        <w:t>Talen’s estimated future fixed fee performance obligations primarily include capacity volumes awarded, net of capacity repurchases by the Company, through PJM BRAs and incremental PJM capacity auctions, and components of capacity contracts with customers for which consideration is fixed and determinable. See Note 9 for additional information on the PJM BRAs.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Future performance obligations that were unsatisfied or partially unsatisfied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2026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E1E1E2"/>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E1E1E2"/>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2029</w:t>
            </w:r>
          </w:p>
        </w:tc>
        <w:tc>
          <w:tcPr>
            <w:tcW w:w="80" w:type="dxa"/>
            <w:vAlign w:val="bottom"/>
            <w:tcBorders>
              <w:bottom w:val="single" w:sz="8" w:color="E1E1E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E1E1E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 xml:space="preserve">Thereafter </w:t>
            </w:r>
            <w:r>
              <w:rPr>
                <w:rFonts w:ascii="Arial" w:cs="Arial" w:eastAsia="Arial" w:hAnsi="Arial"/>
                <w:sz w:val="18"/>
                <w:szCs w:val="18"/>
                <w:b w:val="1"/>
                <w:bCs w:val="1"/>
                <w:color w:val="auto"/>
                <w:w w:val="98"/>
                <w:vertAlign w:val="superscript"/>
              </w:rPr>
              <w:t>(b)</w:t>
            </w:r>
          </w:p>
        </w:tc>
        <w:tc>
          <w:tcPr>
            <w:tcW w:w="100" w:type="dxa"/>
            <w:vAlign w:val="bottom"/>
            <w:tcBorders>
              <w:bottom w:val="single" w:sz="8" w:color="E1E1E2"/>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680" w:type="dxa"/>
            <w:vAlign w:val="bottom"/>
            <w:tcBorders>
              <w:bottom w:val="single" w:sz="8" w:color="auto"/>
            </w:tcBorders>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Expected capacity revenues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319</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1,270</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529</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3,511</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Estimated for the period from October 1, 2026 through December 31, 2026.</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Contractual maturities through 2035.</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capacity revenues from volumes awarded in PJM BRAs through May 2029.</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PJM Capacity Monetization</w:t>
      </w:r>
    </w:p>
    <w:p>
      <w:pPr>
        <w:spacing w:after="0" w:line="165"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color w:val="auto"/>
        </w:rPr>
        <w:t>On October 1, 2026, TEM closed on a capacity monetization agreement with an unaffiliated third party, transferring its rights of future cash flows related to an aggregate $1.5 billion of certain future capacity revenues awarded by PJM and cleared by TEM in PJM BRAs. Such revenues are associated with cleared volumes of approximately 6.5 GW and 6.0 GW for the 2027/2028 and 2028/2029 PJM Capacity Years, respectively. In exchange, TEM was advanced $1.5 billion of proceeds which were reduced by a $157 million discount. The proceeds advanced to TEM will be repaid by PJM to the third party from monthly settlements of PJM capacity revenues beginning in June 2027 until the expiration of the arrangement in May 2029. The Company used the $1.3 billion of net proceeds from this arrangement to fund accelerated share repurchases. See Note 15 for additional information on accelerated share repurchases.</w:t>
      </w:r>
    </w:p>
    <w:p>
      <w:pPr>
        <w:spacing w:after="0" w:line="120"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6"/>
          <w:szCs w:val="16"/>
          <w:color w:val="auto"/>
        </w:rPr>
        <w:t>Talen remains responsible for operating its generation facilities, retains the obligation to perform as a PJM generation capacity resource with respect to the capacity sold in the transaction, has retained its rights for any earned capacity performance bonus payments, and has retained the risks associated with performance deficiency penalties.</w:t>
      </w:r>
    </w:p>
    <w:p>
      <w:pPr>
        <w:spacing w:after="0" w:line="110"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As Talen continues to have future capacity performance obligations to PJM, amounts advanced to Talen under the arrangement will be presented as a liability on the Consolidated Balance Sheets. Capacity revenues are expected to be recognized over a period of time consistent with the fulfillment of the Company’s obligations to PJM. The $157 million discount is an implied finance charge, subject to amortization through expiry of the arrangement, and will be presented as “Interest expense and other finance charges” on the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future expected capacity monetization repayments 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E1E1E2"/>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2030</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93"/>
        </w:trPr>
        <w:tc>
          <w:tcPr>
            <w:tcW w:w="4900" w:type="dxa"/>
            <w:vAlign w:val="bottom"/>
            <w:shd w:val="clear" w:color="auto" w:fill="E1E1E2"/>
          </w:tcPr>
          <w:p>
            <w:pPr>
              <w:ind w:left="20"/>
              <w:spacing w:after="0"/>
              <w:rPr>
                <w:sz w:val="20"/>
                <w:szCs w:val="20"/>
                <w:color w:val="auto"/>
              </w:rPr>
            </w:pPr>
            <w:r>
              <w:rPr>
                <w:rFonts w:ascii="Arial" w:cs="Arial" w:eastAsia="Arial" w:hAnsi="Arial"/>
                <w:sz w:val="14"/>
                <w:szCs w:val="14"/>
                <w:color w:val="auto"/>
              </w:rPr>
              <w:t>Expected amortization of deferred capacity obligation</w:t>
            </w:r>
          </w:p>
        </w:tc>
        <w:tc>
          <w:tcPr>
            <w:tcW w:w="100" w:type="dxa"/>
            <w:vAlign w:val="bottom"/>
            <w:shd w:val="clear" w:color="auto" w:fill="E1E1E2"/>
          </w:tcPr>
          <w:p>
            <w:pPr>
              <w:spacing w:after="0"/>
              <w:rPr>
                <w:sz w:val="16"/>
                <w:szCs w:val="16"/>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E1E1E2"/>
          </w:tcPr>
          <w:p>
            <w:pPr>
              <w:jc w:val="right"/>
              <w:ind w:right="468"/>
              <w:spacing w:after="0"/>
              <w:rPr>
                <w:sz w:val="20"/>
                <w:szCs w:val="20"/>
                <w:color w:val="auto"/>
              </w:rPr>
            </w:pPr>
            <w:r>
              <w:rPr>
                <w:rFonts w:ascii="Arial" w:cs="Arial" w:eastAsia="Arial" w:hAnsi="Arial"/>
                <w:sz w:val="14"/>
                <w:szCs w:val="14"/>
                <w:color w:val="auto"/>
              </w:rPr>
              <w:t>—   $</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w w:val="94"/>
              </w:rPr>
              <w:t>432</w:t>
            </w:r>
          </w:p>
        </w:tc>
        <w:tc>
          <w:tcPr>
            <w:tcW w:w="80" w:type="dxa"/>
            <w:vAlign w:val="bottom"/>
            <w:shd w:val="clear" w:color="auto" w:fill="E1E1E2"/>
          </w:tcPr>
          <w:p>
            <w:pPr>
              <w:spacing w:after="0"/>
              <w:rPr>
                <w:sz w:val="16"/>
                <w:szCs w:val="16"/>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E1E1E2"/>
          </w:tcPr>
          <w:p>
            <w:pPr>
              <w:spacing w:after="0"/>
              <w:rPr>
                <w:sz w:val="16"/>
                <w:szCs w:val="16"/>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E1E1E2"/>
          </w:tcPr>
          <w:p>
            <w:pPr>
              <w:spacing w:after="0"/>
              <w:rPr>
                <w:sz w:val="16"/>
                <w:szCs w:val="16"/>
                <w:color w:val="auto"/>
              </w:rPr>
            </w:pPr>
          </w:p>
        </w:tc>
        <w:tc>
          <w:tcPr>
            <w:tcW w:w="680" w:type="dxa"/>
            <w:vAlign w:val="bottom"/>
            <w:shd w:val="clear" w:color="auto" w:fill="E1E1E2"/>
          </w:tcPr>
          <w:p>
            <w:pPr>
              <w:jc w:val="right"/>
              <w:ind w:right="508"/>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E1E1E2"/>
          </w:tcPr>
          <w:p>
            <w:pPr>
              <w:ind w:left="60"/>
              <w:spacing w:after="0"/>
              <w:rPr>
                <w:sz w:val="20"/>
                <w:szCs w:val="20"/>
                <w:color w:val="auto"/>
              </w:rPr>
            </w:pPr>
            <w:r>
              <w:rPr>
                <w:rFonts w:ascii="Arial" w:cs="Arial" w:eastAsia="Arial" w:hAnsi="Arial"/>
                <w:sz w:val="14"/>
                <w:szCs w:val="14"/>
                <w:color w:val="auto"/>
              </w:rPr>
              <w:t>—   $</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1,500</w:t>
            </w:r>
          </w:p>
        </w:tc>
      </w:tr>
      <w:tr>
        <w:trPr>
          <w:trHeight w:val="20"/>
        </w:trPr>
        <w:tc>
          <w:tcPr>
            <w:tcW w:w="4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Income Taxes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reconciliations of the effective tax rate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(loss) before income taxes</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195</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00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7"/>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Effective tax rate</w:t>
            </w:r>
          </w:p>
        </w:tc>
        <w:tc>
          <w:tcPr>
            <w:tcW w:w="1000" w:type="dxa"/>
            <w:vAlign w:val="bottom"/>
            <w:shd w:val="clear" w:color="auto" w:fill="E1E1E2"/>
          </w:tcPr>
          <w:p>
            <w:pPr>
              <w:spacing w:after="0"/>
              <w:rPr>
                <w:sz w:val="17"/>
                <w:szCs w:val="17"/>
                <w:color w:val="auto"/>
              </w:rPr>
            </w:pPr>
          </w:p>
        </w:tc>
        <w:tc>
          <w:tcPr>
            <w:tcW w:w="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29.2 %</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25.9 %</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32.7 %</w:t>
            </w:r>
          </w:p>
        </w:tc>
        <w:tc>
          <w:tcPr>
            <w:tcW w:w="0" w:type="dxa"/>
            <w:vAlign w:val="bottom"/>
          </w:tcPr>
          <w:p>
            <w:pPr>
              <w:spacing w:after="0"/>
              <w:rPr>
                <w:sz w:val="1"/>
                <w:szCs w:val="1"/>
                <w:color w:val="auto"/>
              </w:rPr>
            </w:pPr>
          </w:p>
        </w:tc>
      </w:tr>
      <w:tr>
        <w:trPr>
          <w:trHeight w:val="153"/>
        </w:trPr>
        <w:tc>
          <w:tcPr>
            <w:tcW w:w="46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Income tax benefit (expense) computed at the federal income tax</w:t>
            </w:r>
          </w:p>
        </w:tc>
        <w:tc>
          <w:tcPr>
            <w:tcW w:w="1000" w:type="dxa"/>
            <w:vAlign w:val="bottom"/>
            <w:vMerge w:val="restart"/>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5"/>
        </w:trPr>
        <w:tc>
          <w:tcPr>
            <w:tcW w:w="4680" w:type="dxa"/>
            <w:vAlign w:val="bottom"/>
            <w:gridSpan w:val="2"/>
          </w:tcPr>
          <w:p>
            <w:pPr>
              <w:ind w:left="100"/>
              <w:spacing w:after="0"/>
              <w:rPr>
                <w:sz w:val="20"/>
                <w:szCs w:val="20"/>
                <w:color w:val="auto"/>
              </w:rPr>
            </w:pPr>
            <w:r>
              <w:rPr>
                <w:rFonts w:ascii="Arial" w:cs="Arial" w:eastAsia="Arial" w:hAnsi="Arial"/>
                <w:sz w:val="14"/>
                <w:szCs w:val="14"/>
                <w:color w:val="auto"/>
              </w:rPr>
              <w:t>statutory tax rate of 21%</w:t>
            </w:r>
          </w:p>
        </w:tc>
        <w:tc>
          <w:tcPr>
            <w:tcW w:w="10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Additional tax benefit (expense) due to:</w:t>
            </w:r>
          </w:p>
        </w:tc>
        <w:tc>
          <w:tcPr>
            <w:tcW w:w="10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Permanent differences</w:t>
            </w:r>
          </w:p>
        </w:tc>
        <w:tc>
          <w:tcPr>
            <w:tcW w:w="100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NDT taxes</w:t>
            </w:r>
          </w:p>
        </w:tc>
        <w:tc>
          <w:tcPr>
            <w:tcW w:w="10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28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Change in state rate</w:t>
            </w:r>
          </w:p>
        </w:tc>
        <w:tc>
          <w:tcPr>
            <w:tcW w:w="1000" w:type="dxa"/>
            <w:vAlign w:val="bottom"/>
          </w:tcPr>
          <w:p>
            <w:pPr>
              <w:spacing w:after="0"/>
              <w:rPr>
                <w:sz w:val="17"/>
                <w:szCs w:val="17"/>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4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(57)</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22"/>
        </w:trPr>
        <w:tc>
          <w:tcPr>
            <w:tcW w:w="4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Inventory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71</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00"/>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143</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151</w:t>
            </w:r>
          </w:p>
        </w:tc>
      </w:tr>
      <w:tr>
        <w:trPr>
          <w:trHeight w:val="252"/>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18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316</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278</w:t>
            </w:r>
          </w:p>
        </w:tc>
      </w:tr>
      <w:tr>
        <w:trPr>
          <w:trHeight w:val="22"/>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Nuclear Decommissioning Trust Funds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904</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773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1,225</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801</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1,976</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1,176</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746</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1,900</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See Note 11 for additional information on the NDT fair value. There were no available-for-sale debt securities with credit losses as of September 30, 2026 and December 31,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As of September 30, 2026,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September 30, 2026 was: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Unrealized Losses</w:t>
            </w: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debt securities</w:t>
            </w:r>
          </w:p>
        </w:tc>
        <w:tc>
          <w:tcPr>
            <w:tcW w:w="1160" w:type="dxa"/>
            <w:vAlign w:val="bottom"/>
            <w:shd w:val="clear" w:color="auto" w:fill="E1E1E2"/>
          </w:tcPr>
          <w:p>
            <w:pPr>
              <w:jc w:val="right"/>
              <w:ind w:right="98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358</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Municipal debt securities</w:t>
            </w:r>
          </w:p>
        </w:tc>
        <w:tc>
          <w:tcPr>
            <w:tcW w:w="116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00" w:type="dxa"/>
            <w:vAlign w:val="bottom"/>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423</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in unrealized loss position</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b w:val="1"/>
                <w:bCs w:val="1"/>
                <w:color w:val="auto"/>
              </w:rPr>
              <w:t>851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2"/>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As of September 30, 2026, the aggregate fair value of debt securities whose carrying value was below the purchase price for a duration of one year or longer was $65 million and the unrealized losses related to such securities were non-material.</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628</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521</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904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777</w:t>
            </w:r>
          </w:p>
        </w:tc>
      </w:tr>
      <w:tr>
        <w:trPr>
          <w:trHeight w:val="22"/>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498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18"/>
                <w:szCs w:val="18"/>
                <w:color w:val="auto"/>
                <w:vertAlign w:val="superscript"/>
              </w:rPr>
              <w:t>(a)</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433</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1,601</w:t>
            </w: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Realized losses</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unrealized gains and losses recognized associated with equity securities still held at the end of the reporting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19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Equity securities, unrealized gains (losses)</w:t>
            </w:r>
          </w:p>
        </w:tc>
        <w:tc>
          <w:tcPr>
            <w:tcW w:w="100" w:type="dxa"/>
            <w:vAlign w:val="bottom"/>
            <w:shd w:val="clear" w:color="auto" w:fill="E1E1E2"/>
          </w:tcPr>
          <w:p>
            <w:pPr>
              <w:spacing w:after="0"/>
              <w:rPr>
                <w:sz w:val="16"/>
                <w:szCs w:val="16"/>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6"/>
                <w:szCs w:val="16"/>
                <w:color w:val="auto"/>
              </w:rPr>
            </w:pPr>
          </w:p>
        </w:tc>
        <w:tc>
          <w:tcPr>
            <w:tcW w:w="1240" w:type="dxa"/>
            <w:vAlign w:val="bottom"/>
            <w:tcBorders>
              <w:bottom w:val="single" w:sz="8" w:color="auto"/>
            </w:tcBorders>
            <w:shd w:val="clear" w:color="auto" w:fill="E1E1E2"/>
          </w:tcPr>
          <w:p>
            <w:pPr>
              <w:jc w:val="right"/>
              <w:ind w:right="10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E1E1E2"/>
          </w:tcPr>
          <w:p>
            <w:pPr>
              <w:spacing w:after="0"/>
              <w:rPr>
                <w:sz w:val="16"/>
                <w:szCs w:val="16"/>
                <w:color w:val="auto"/>
              </w:rPr>
            </w:pPr>
          </w:p>
        </w:tc>
        <w:tc>
          <w:tcPr>
            <w:tcW w:w="1100" w:type="dxa"/>
            <w:vAlign w:val="bottom"/>
            <w:tcBorders>
              <w:bottom w:val="single" w:sz="8" w:color="auto"/>
            </w:tcBorders>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6"/>
                <w:szCs w:val="16"/>
                <w:color w:val="auto"/>
              </w:rPr>
            </w:pPr>
          </w:p>
        </w:tc>
        <w:tc>
          <w:tcPr>
            <w:tcW w:w="1160" w:type="dxa"/>
            <w:vAlign w:val="bottom"/>
            <w:tcBorders>
              <w:bottom w:val="single" w:sz="8" w:color="auto"/>
            </w:tcBorders>
            <w:shd w:val="clear" w:color="auto" w:fill="E1E1E2"/>
          </w:tcPr>
          <w:p>
            <w:pPr>
              <w:jc w:val="right"/>
              <w:ind w:right="9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Plant and Equipment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2026</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2025</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3-37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11,767</w:t>
            </w:r>
          </w:p>
        </w:tc>
        <w:tc>
          <w:tcPr>
            <w:tcW w:w="2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10,992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7,522</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7"/>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7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7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12,877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(1,019)</w:t>
            </w:r>
          </w:p>
        </w:tc>
        <w:tc>
          <w:tcPr>
            <w:tcW w:w="10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11,858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8,256</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(710)</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7,546</w:t>
            </w:r>
          </w:p>
        </w:tc>
        <w:tc>
          <w:tcPr>
            <w:tcW w:w="0" w:type="dxa"/>
            <w:vAlign w:val="bottom"/>
          </w:tcPr>
          <w:p>
            <w:pPr>
              <w:spacing w:after="0"/>
              <w:rPr>
                <w:sz w:val="1"/>
                <w:szCs w:val="1"/>
                <w:color w:val="auto"/>
              </w:rPr>
            </w:pPr>
          </w:p>
        </w:tc>
      </w:tr>
      <w:tr>
        <w:trPr>
          <w:trHeight w:val="21"/>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“Depreciation, amortization and accretion</w:t>
      </w:r>
      <w:r>
        <w:rPr>
          <w:rFonts w:ascii="Arial" w:cs="Arial" w:eastAsia="Arial" w:hAnsi="Arial"/>
          <w:sz w:val="16"/>
          <w:szCs w:val="16"/>
          <w:i w:val="1"/>
          <w:iCs w:val="1"/>
          <w:color w:val="auto"/>
        </w:rPr>
        <w:t>”</w:t>
      </w:r>
      <w:r>
        <w:rPr>
          <w:rFonts w:ascii="Arial" w:cs="Arial" w:eastAsia="Arial" w:hAnsi="Arial"/>
          <w:sz w:val="16"/>
          <w:szCs w:val="16"/>
          <w:color w:val="auto"/>
        </w:rPr>
        <w:t xml:space="preserve"> presented on the Consolidated Statements of Operations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19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9"/>
                <w:szCs w:val="9"/>
                <w:color w:val="auto"/>
              </w:rPr>
              <w:t>(a)</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1068"/>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9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153</w:t>
            </w: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9"/>
                <w:szCs w:val="9"/>
                <w:color w:val="auto"/>
              </w:rPr>
              <w:t>(b)</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9"/>
                <w:szCs w:val="9"/>
                <w:color w:val="auto"/>
              </w:rPr>
              <w:t>(c)</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61</w:t>
            </w:r>
          </w:p>
        </w:tc>
        <w:tc>
          <w:tcPr>
            <w:tcW w:w="8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17"/>
                <w:szCs w:val="17"/>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205</w:t>
            </w:r>
          </w:p>
        </w:tc>
      </w:tr>
      <w:tr>
        <w:trPr>
          <w:trHeight w:val="21"/>
        </w:trPr>
        <w:tc>
          <w:tcPr>
            <w:tcW w:w="4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8 for additional information.</w:t>
      </w:r>
    </w:p>
    <w:p>
      <w:pPr>
        <w:spacing w:after="0" w:line="161"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color w:val="auto"/>
        </w:rPr>
        <w:t>The cost of nuclear fuel and the amortization of nuclear fuel intangible assets are presented as “Nuclear fuel amortization” on the Consolidated Statements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RMR Arrangements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August 2026, the FERC approved the extensions of the Brandon Shores and H.A. Wagner RMR agreements through May 31, 2031.</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Asset Retirement Obligations and Accrued Environmental Costs</w:t>
      </w:r>
    </w:p>
    <w:p>
      <w:pPr>
        <w:spacing w:after="0" w:line="167"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Certain subsidiaries of the Company have legal retirement obligations for the decommissioning and environmental remediation costs associated with our current and former generation sites.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spacing w:after="0" w:line="12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6"/>
          <w:szCs w:val="16"/>
          <w:color w:val="auto"/>
        </w:rPr>
        <w:t>The Company may be required to revise or recognize new AROs as a result of regulatory changes by the NRC, the EPA, Montana Department of Environmental Quality (the “MDEQ”) or other regulatory entities. Additionally, revisions may result from scope of work amendments to remediation activities as well as changes to remediation costs and other assumptions. If the assumptions underlying any ARO estimates do not materialize as expected, actual cash expenditures and costs could be materially different than currently estimated.</w:t>
      </w:r>
    </w:p>
    <w:p>
      <w:pPr>
        <w:spacing w:after="0" w:line="114"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As of September 30, 2026, the fair values of certain conditional AROs as a result of the EPA CCR Rule cannot be determined. See Note 9 for additional information on a recent EPA proposal to rescind certain provisions of the EPA CCR Rule.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of AROs and accrued environmental costs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534</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494</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82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6"/>
        </w:trPr>
        <w:tc>
          <w:tcPr>
            <w:tcW w:w="8340" w:type="dxa"/>
            <w:vAlign w:val="bottom"/>
            <w:gridSpan w:val="2"/>
          </w:tcPr>
          <w:p>
            <w:pPr>
              <w:spacing w:after="0"/>
              <w:rPr>
                <w:sz w:val="20"/>
                <w:szCs w:val="20"/>
                <w:color w:val="auto"/>
              </w:rPr>
            </w:pPr>
            <w:r>
              <w:rPr>
                <w:rFonts w:ascii="Arial" w:cs="Arial" w:eastAsia="Arial" w:hAnsi="Arial"/>
                <w:sz w:val="13"/>
                <w:szCs w:val="13"/>
                <w:color w:val="auto"/>
              </w:rPr>
              <w:t>(a)   Presented as “Other current liabilities” on the Consolidated Balance Sheets.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63"/>
        </w:trPr>
        <w:tc>
          <w:tcPr>
            <w:tcW w:w="8340" w:type="dxa"/>
            <w:vAlign w:val="bottom"/>
            <w:gridSpan w:val="2"/>
          </w:tcPr>
          <w:p>
            <w:pPr>
              <w:ind w:left="340"/>
              <w:spacing w:after="0"/>
              <w:rPr>
                <w:sz w:val="20"/>
                <w:szCs w:val="20"/>
                <w:color w:val="auto"/>
              </w:rPr>
            </w:pPr>
            <w:r>
              <w:rPr>
                <w:rFonts w:ascii="Arial" w:cs="Arial" w:eastAsia="Arial" w:hAnsi="Arial"/>
                <w:sz w:val="16"/>
                <w:szCs w:val="16"/>
                <w:color w:val="auto"/>
              </w:rPr>
              <w:t>The changes of the ARO carrying value during the period were: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3"/>
        </w:trPr>
        <w:tc>
          <w:tcPr>
            <w:tcW w:w="8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E1E1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 January 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Obligations settled</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Accretion expense</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Changes in estimates and (or) settlement dates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Obligations incurred</w:t>
            </w: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8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 September 30,</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534</w:t>
            </w:r>
          </w:p>
        </w:tc>
      </w:tr>
      <w:tr>
        <w:trPr>
          <w:trHeight w:val="21"/>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disaggregation of ARO carrying values on the Consolidated Balance Sheets was: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Nuclear </w:t>
            </w:r>
            <w:r>
              <w:rPr>
                <w:rFonts w:ascii="Arial" w:cs="Arial" w:eastAsia="Arial" w:hAnsi="Arial"/>
                <w:sz w:val="9"/>
                <w:szCs w:val="9"/>
                <w:color w:val="auto"/>
              </w:rPr>
              <w:t>(a)</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Non-nuclear </w:t>
            </w:r>
            <w:r>
              <w:rPr>
                <w:rFonts w:ascii="Arial" w:cs="Arial" w:eastAsia="Arial" w:hAnsi="Arial"/>
                <w:sz w:val="9"/>
                <w:szCs w:val="9"/>
                <w:color w:val="auto"/>
              </w:rPr>
              <w:t>(b)</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514</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6 for additional information on the NDT.</w:t>
      </w: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Certain obligations are: (i) partially supported by surety bonds, some of which have been collateralized with LCs; or (ii) partially prefunded under phased installment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67"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Matters</w:t>
      </w:r>
    </w:p>
    <w:p>
      <w:pPr>
        <w:spacing w:after="0" w:line="165"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spacing w:after="0" w:line="118"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i w:val="1"/>
          <w:iCs w:val="1"/>
          <w:color w:val="auto"/>
        </w:rPr>
        <w:t xml:space="preserve">Spent Nuclear Fuel Litigation. </w:t>
      </w:r>
      <w:r>
        <w:rPr>
          <w:rFonts w:ascii="Arial" w:cs="Arial" w:eastAsia="Arial" w:hAnsi="Arial"/>
          <w:sz w:val="16"/>
          <w:szCs w:val="16"/>
          <w:color w:val="auto"/>
        </w:rPr>
        <w:t>Federal law currently requires the U.S. government to provide for the permanent disposal of commercial spent nuclear</w:t>
      </w:r>
      <w:r>
        <w:rPr>
          <w:rFonts w:ascii="Arial" w:cs="Arial" w:eastAsia="Arial" w:hAnsi="Arial"/>
          <w:sz w:val="16"/>
          <w:szCs w:val="16"/>
          <w:i w:val="1"/>
          <w:iCs w:val="1"/>
          <w:color w:val="auto"/>
        </w:rPr>
        <w:t xml:space="preserve"> </w:t>
      </w:r>
      <w:r>
        <w:rPr>
          <w:rFonts w:ascii="Arial" w:cs="Arial" w:eastAsia="Arial" w:hAnsi="Arial"/>
          <w:sz w:val="16"/>
          <w:szCs w:val="16"/>
          <w:color w:val="auto"/>
        </w:rPr>
        <w:t>fuel (“SNF”), but the government has not yet done so. Until May 2014, the DOE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In July 2026, the Company reached an agreement with the DOE for a reimbursement of $5 million (reflecting Talen’s 90% share) related to the 2025 period. As the settlement agreement expired at the end of 2025, we are currently in the process of seeking an extension through 2028; however, we cannot be certain that such extension will be executed on similar terms or at all.</w:t>
      </w:r>
    </w:p>
    <w:p>
      <w:pPr>
        <w:spacing w:after="0" w:line="126"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i w:val="1"/>
          <w:iCs w:val="1"/>
          <w:color w:val="auto"/>
        </w:rPr>
        <w:t xml:space="preserve">Brunner Island CCR Litigation. </w:t>
      </w:r>
      <w:r>
        <w:rPr>
          <w:rFonts w:ascii="Arial" w:cs="Arial" w:eastAsia="Arial" w:hAnsi="Arial"/>
          <w:sz w:val="16"/>
          <w:szCs w:val="16"/>
          <w:color w:val="auto"/>
        </w:rPr>
        <w:t>In April 2025, the Center for Biological Diversity (the “CBD”) filed a citizen suit in the U.S. District Court for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Pennsylvania alleging that the Company and its subsidiary, Brunner Island, LLC, have failed to comply with groundwater monitoring and corrective action requirements at Brunner Island’s Ash Basin 5 and have therefore violated the RCRA and the EPA CCR Rule. The complaint seeks declaratory and injunctive relief. Talen believes the alleged claims are without merit and that the CBD’s factual and legal conclusions are incorrect. Talen filed a motion to dismiss the lawsuit which was followed by an amicus brief from the Utility Solid Waste Activities Group in support of Talen’s motion. The U.S. District Court for the Middle District of Pennsylvania denied the motion to dismiss in September 2026, and the litigation is ongoing. No assurance can be provided as to the outcome of the litigation or its impacts on Talen’s operations.</w:t>
      </w:r>
    </w:p>
    <w:p>
      <w:pPr>
        <w:spacing w:after="0" w:line="201" w:lineRule="exact"/>
        <w:rPr>
          <w:sz w:val="20"/>
          <w:szCs w:val="20"/>
          <w:color w:val="auto"/>
        </w:rPr>
      </w:pPr>
    </w:p>
    <w:p>
      <w:pPr>
        <w:ind w:right="220" w:firstLine="324"/>
        <w:spacing w:after="0" w:line="265" w:lineRule="auto"/>
        <w:rPr>
          <w:sz w:val="20"/>
          <w:szCs w:val="20"/>
          <w:color w:val="auto"/>
        </w:rPr>
      </w:pPr>
      <w:r>
        <w:rPr>
          <w:rFonts w:ascii="Arial" w:cs="Arial" w:eastAsia="Arial" w:hAnsi="Arial"/>
          <w:sz w:val="16"/>
          <w:szCs w:val="16"/>
          <w:i w:val="1"/>
          <w:iCs w:val="1"/>
          <w:color w:val="auto"/>
        </w:rPr>
        <w:t xml:space="preserve">Freedom Title V Permit Appeal. </w:t>
      </w:r>
      <w:r>
        <w:rPr>
          <w:rFonts w:ascii="Arial" w:cs="Arial" w:eastAsia="Arial" w:hAnsi="Arial"/>
          <w:sz w:val="16"/>
          <w:szCs w:val="16"/>
          <w:color w:val="auto"/>
        </w:rPr>
        <w:t>In December 2025, an individual appealed the Title V permit renewal for Freedom to the Pennsylvania Environmental</w:t>
      </w:r>
      <w:r>
        <w:rPr>
          <w:rFonts w:ascii="Arial" w:cs="Arial" w:eastAsia="Arial" w:hAnsi="Arial"/>
          <w:sz w:val="16"/>
          <w:szCs w:val="16"/>
          <w:i w:val="1"/>
          <w:iCs w:val="1"/>
          <w:color w:val="auto"/>
        </w:rPr>
        <w:t xml:space="preserve"> </w:t>
      </w:r>
      <w:r>
        <w:rPr>
          <w:rFonts w:ascii="Arial" w:cs="Arial" w:eastAsia="Arial" w:hAnsi="Arial"/>
          <w:sz w:val="16"/>
          <w:szCs w:val="16"/>
          <w:color w:val="auto"/>
        </w:rPr>
        <w:t>Hearing Board (“EHB”). The appellant alleged that the Pennsylvania Department of Environmental Protection did not adhere to procedural requirements when renewing the permit. In August 2026, Talen filed a motion for summary judgment, requesting the EHB dismiss the appeal. The EHB granted Talen’s motion and dismissed the appeal in October 2026. However, the appellant filed a motion asking the EHB to reconsider its decision. No assurance can be provided as to the outcome of the administrative appeal.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i w:val="1"/>
          <w:iCs w:val="1"/>
          <w:color w:val="auto"/>
        </w:rPr>
        <w:t xml:space="preserve">Winter Storm Uri Lawsuits. </w:t>
      </w:r>
      <w:r>
        <w:rPr>
          <w:rFonts w:ascii="Arial" w:cs="Arial" w:eastAsia="Arial" w:hAnsi="Arial"/>
          <w:sz w:val="16"/>
          <w:szCs w:val="16"/>
          <w:color w:val="auto"/>
        </w:rPr>
        <w:t>In connection with the sale of Talen’s generating facilities in Texas in May 2024, the Company retained certain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relating to claims filed from 2021 onward against its former Texas subsidiaries seeking unspecified damages for alleged losses caused by the defendants’ failure to provide sufficient power to the grid during Winter Storm Uri. The claims also allege similar liability against numerous other power market participants. These cases were transferred to a single multi-district litigation (MDL) court. In January 2023, the MDL court ruled on various motions to dismiss, but denied the motions to dismiss filed by the generator defendants. In December 2023, the Texas First Court of Appeals granted a mandamus petition and instructed the MDL court to grant the motions to dismiss filed by the generator defendants. In early 2025, the plaintiffs filed for mandamus relief in the Texas Supreme Court seeking to overturn the Texas First Court of Appeals. In March 2026, the Texas Supreme Court denied the plaintiffs’ requests. In October 2026, the MDL court entered orders dismissing the five principal “bellwether” cases against the generator defendants, and is developing procedures to address dismissal of the remaining cases. While Talen expects the remaining cases against Talen’s former subsidiaries to be dismissed, the cases remain pending at this time. If the cases are not dismissed, Talen’s maximum potential damages for claims filed prior to the restructuring are expressly limited by Talen’s plan of reorganization to payments from Talen’s insurers. However, claims filed after the restructuring by plaintiffs who did not receive effective notice of the restructuring, if any, may not be subject to the limitations in the plan. Talen cannot predict the effect of an adverse outcome for any such claims.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Annual Financial Statements for certain other active legal matters.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6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DOE; the NRC; the North American Energy Reliability Corporation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spacing w:after="0" w:line="120"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Over the last several years, PJM has requested to delay multiple Base Residual Auctions in order for PJM to propose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reforms. In October 2024, PJM formally requested, and the FERC approved, a six-month delay to the scheduled PJM BRA for the 2029/2030 PJM Capacity Year to December 2026. Currently, the auction for the 2030/2031 PJM Capacity Year in May 2027 is scheduled on a non-delayed basis. Talen can provide no assurance that these or any scheduled PJM BRAs will be held on such dates or at all.</w:t>
      </w:r>
    </w:p>
    <w:p>
      <w:pPr>
        <w:spacing w:after="0" w:line="132"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PJM, at the urging of the Commonwealth of Pennsylvania and with the FERC’s acceptance, imposed a price collar with an approximate minimum and maximum price of $175/MWd and $325/MWd, respectively, which was effective for the 2026/2027 and 2027/2028 PJM BRAs. In April 2026, the FERC approved the extension of the same price collar framework for the 2028/2029 and 2029/2030 PJM Capacity Years.</w:t>
      </w:r>
    </w:p>
    <w:p>
      <w:pPr>
        <w:spacing w:after="0" w:line="11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In May 2026, PJM published a report examining the causes of the growing capacity shortfall and initiated the holistic market review called for by the PJM Board. PJM is holding a series of meetings to discuss proposed pathways with stakeholders, with the next two workshops scheduled in October 2026. As with the other PJM stakeholder processes, the Company is participating.</w:t>
      </w:r>
    </w:p>
    <w:p>
      <w:pPr>
        <w:spacing w:after="0" w:line="110"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i w:val="1"/>
          <w:iCs w:val="1"/>
          <w:color w:val="auto"/>
        </w:rPr>
        <w:t xml:space="preserve">Brandon Shores and H.A. Wagner RMR Agreements. </w:t>
      </w:r>
      <w:r>
        <w:rPr>
          <w:rFonts w:ascii="Arial" w:cs="Arial" w:eastAsia="Arial" w:hAnsi="Arial"/>
          <w:sz w:val="16"/>
          <w:szCs w:val="16"/>
          <w:color w:val="auto"/>
        </w:rPr>
        <w:t>In May 2025, the FERC approved each of the Brandon Shores and H.A. Wagner RMR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under which: (i) Talen will operate the generation facilities in accordance with such arrangements from June 1, 2025 through May 31, 2029, or until such time as the necessary third-party transmission upgrades are placed into service; (ii) Brandon Shores will earn annual fixed-cost payments of $145 million ($312/MWd), inclusive of a $5 million per year unit performance “hold back;” (iii) H.A. Wagner will earn annual fixed-cost payments of $35 million ($137/MWd), inclusive of a $2.5 million per year unit performance “hold back;” and (iv) each facility will receive separate reimbursement for variable costs and approved project investments. In August 2025, the Maryland Office of People’s Counsel filed an appeal of the FERC’s order approving the Brandon Shores and H.A. Wagner RMR agreements. The Company has intervened in that proceeding and plans to participate.</w:t>
      </w:r>
    </w:p>
    <w:p>
      <w:pPr>
        <w:spacing w:after="0" w:line="136"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May 2026, PJM formally requested extension of the RMR agreements through May 31, 2031. The extension RMR agreements were filed with the FERC in June 2026 and allow for an increase of annual fixed-cost payments to account for cost-of-living adjustments to wages and additional project investments. The Maryland Office of People's Counsel and the Independent Market Monitor filed protests. In August 2026, the FERC approved the extension of the RMR agreements. In September 2026, the Maryland Office of People’s Counsel submitted a request for rehearing of the order.</w:t>
      </w:r>
    </w:p>
    <w:p>
      <w:pPr>
        <w:spacing w:after="0" w:line="119"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i w:val="1"/>
          <w:iCs w:val="1"/>
          <w:color w:val="auto"/>
        </w:rPr>
        <w:t xml:space="preserve">Interconnection of Large Loads. </w:t>
      </w:r>
      <w:r>
        <w:rPr>
          <w:rFonts w:ascii="Arial" w:cs="Arial" w:eastAsia="Arial" w:hAnsi="Arial"/>
          <w:sz w:val="16"/>
          <w:szCs w:val="16"/>
          <w:color w:val="auto"/>
        </w:rPr>
        <w:t>In October 2025, DOE directed the FERC to consider reforms to expedite and facilitate how large loads interconnect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interstate transmission system. DOE stated that the Federal Power Act permits the FERC to exert jurisdiction over load interconnections even though it has not historically done so. DOE provided a draft advance notice of proposed rulemaking (“ANOPR”) and directed the FERC to initiate rulemaking procedures. In November 2025, the FERC requested public comment on the ANOPR, and the Company provided comments. DOE directed the FERC to take final action by the end of April 2026.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In August 2025, PJM began an accelerated process known as a Critical Issue Fast Path (“CIFP”) process with stakeholders to address how to integrate large load customers quickly and reliably. The CIFP stakeholders represented a wide range of views about resource allocations, costs, and how the addition of large loads like data centers to PJM should be managed in the context of the capacity market. The Company was an active participant in the CIFP process and submitted a joint proposal amongst itself, Constellation, Calpine, Amazon, Microsoft, and Google representing the group’s collective views on the best approach to large load additions. Neither the joint proposal nor any of the other proposals submitted received broad stakeholder support during voting. Nevertheless, PJM had planned to make a filing at the FERC in January 2026 containing PJM’s ultimate proposal to be in place for the 2028/2029 PJM BRA.</w:t>
      </w:r>
    </w:p>
    <w:p>
      <w:pPr>
        <w:spacing w:after="0" w:line="334"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December 2025, however, the FERC issued an order in a show cause proceeding on large loads co-located with generation. The FERC directed PJM to submit an informational report containing, among other items, all of the CIFP proposals. The FERC also found that the PJM tariff was unjust and unreasonable as to the interconnection of co-located loads. The FERC requested tariff revisions be submitted over the next 30-60 days and established a hearing schedule, which began in February 2026, to establish rates, terms, and conditions of several new transmission services.</w:t>
      </w:r>
    </w:p>
    <w:p>
      <w:pPr>
        <w:spacing w:after="0" w:line="11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In January 2026, the National Energy Dominance Council (“NEDC”) and the Governors from each of the 13 states in PJM issued a “Statement of Principles” for PJM. Among other things, the statement calls for PJM to conduct a reliability backstop auction for new baseload capacity with 15-year contracts by September 2026. It also urged PJM to extend the existing price collar for the next two BRAs. Hours after the NEDC/Governors’ principles were released, the PJM Board of Managers issued a Board Decisional Letter — the final step in the Large Load Addition CIFP process. The Board’s Decisional Letter adopted specific elements of various proposals, including load forecasting improvements, voluntary bring your own generation paired with an expedited interconnection track, a holistic review in the coming year of investment incentives in PJM’s markets, and immediate initiation of a reliability backstop procurement.</w:t>
      </w:r>
    </w:p>
    <w:p>
      <w:pPr>
        <w:spacing w:after="0" w:line="120"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 June 2026, the FERC issued tailored FPA Section 206 Show Cause Orders to each of the RTO/ISOs, including PJM in lieu of a nation-wide rulemaking. Each order asked the RTO to explain or revise its tariff in five key areas: (i) large load interconnection process; (ii) cost allocation; (iii) providing new transmission services for flexible large loads; (iv) behind the meter generation and co-located loads; and (v) developing a process to study generating facilities that serve electrically proximate and co-located loads. PJM was given 60 days to respond; however, the FERC held this deadline in abeyance after PJM issued its intention to address the FERC’s concerns through a Section 205 filing. That filing is expected by November 16, 2026.</w:t>
      </w:r>
    </w:p>
    <w:p>
      <w:pPr>
        <w:spacing w:after="0" w:line="118"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auto"/>
        </w:rPr>
        <w:t xml:space="preserve">PJM Reliability Backstop Procurement and Interim Resource Adequacy Service. </w:t>
      </w:r>
      <w:r>
        <w:rPr>
          <w:rFonts w:ascii="Arial" w:cs="Arial" w:eastAsia="Arial" w:hAnsi="Arial"/>
          <w:sz w:val="16"/>
          <w:szCs w:val="16"/>
          <w:color w:val="auto"/>
        </w:rPr>
        <w:t>In February 2026, PJM launched a series of workshops to develop a</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for a reliability backstop procurement (“RBP”), a one-time, transitional procurement of capacity to begin to address the expected future load growth in the PJM region. As with the CIFP process, the Company is actively participating and presented a joint proposal with a cross-sector coalition. In April 2026, PJM staff presented its initial proposal for a two-phase RBP. The first phase, which would run from September 2026 to March 2027, entailed PJM acting as a “matchmaker” for bilateral contracts; the second phase, which would not commence until March 2027, was a centralized procurement. Additional workshops to receive feedback on the proposal and receive alternative proposals were held in May and June 2026. At the end of the process, PJM stakeholders approved an alternative proposed by the Joint Electric Distribution Companies with the Data Center Coalition. This alternative proposal included a backstop procurement based on a voluntary “registry-based subscription model” rather than forecasted demand and a $555/MWd cap. On July 31, 2026, PJM filed its final version of the RBP with the FERC. The final version of the procurement included a one-time pay-as-bid auction based on the recent 2028/2029 PJM BRA shortfall of 6.8 GW. The proposal called for capacity contracts for 15 years with the auction starting in September 2026 with new capacity to go online by 2032. In addition, it contained a maximum bid price that is capped at the volume-weighted average of levelized costs of all selected offers, with that value set at $555/MWd. In September 2026, the FERC issued an order on the RBP accepting most of these terms but taking issue with the proposed cost allocation, transmission owner exit provisions, and collateral requirements. The FERC’s decision delayed commencement of the RBP until 2027 and encouraged PJM to refile. On October 29, 2026, PJM filed a revised proposal addressing the FERC’s concerns with the initial proposal and proposing the RBP commence on March 1, 2027.</w:t>
      </w:r>
    </w:p>
    <w:p>
      <w:pPr>
        <w:spacing w:after="0" w:line="34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August 2026, PJM proposed a new interim resource adequacy service (“IRAS”) to the FERC to address how large load customers who do not bring their own new power supply can connect to the grid. The proposal envisioned a new emergency procedure in which PJM, during times of low supply, would notify utilities to reduce or transfer demand from new large load customers who have not brought their own new capacity or had their capacity needs covered through the RBP. The Company filed a protest at the FERC arguing that IRAS unduly discriminates against new large load and existing generation, encroaches on States’ jurisdiction, and is likely to result in increased costs and decreased system reliability. On October 9, 2026, the FERC issued an order largely rejecting the IRAS proposal. PJM has not yet announced how it plans to proceed.</w:t>
      </w:r>
    </w:p>
    <w:p>
      <w:pPr>
        <w:spacing w:after="0" w:line="122"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i w:val="1"/>
          <w:iCs w:val="1"/>
          <w:color w:val="auto"/>
        </w:rPr>
        <w:t xml:space="preserve">PJM Governance and Stakeholder Processes Reform. </w:t>
      </w:r>
      <w:r>
        <w:rPr>
          <w:rFonts w:ascii="Arial" w:cs="Arial" w:eastAsia="Arial" w:hAnsi="Arial"/>
          <w:sz w:val="16"/>
          <w:szCs w:val="16"/>
          <w:color w:val="auto"/>
        </w:rPr>
        <w:t>In September 2026, following a technical conference led by the FERC Commissioners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2026, the FERC initiated a facilitated dispute resolution process. Representatives from each sector and the PJM States negotiated board independence, filing rights, stakeholder process, and States’ involvement. The Company participated in these confidential discussions. PJM is expected to submit a reform proposal to the FERC soon.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65"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The EPA’s reconsiderations for many of these regulations and policies remain ongoing, and certain executive orders have subsequently been challenged by states and individual plaintiffs. Future provisions, implementation, and enforcement of these executive actions and the environmental rules continue to be uncertain. Further, costs may increase significantly if the requirements or scope of environmental laws or regulations, or similar rules, are expanded or changed in other ways.</w:t>
      </w:r>
    </w:p>
    <w:p>
      <w:pPr>
        <w:spacing w:after="0" w:line="14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6"/>
          <w:szCs w:val="16"/>
          <w:i w:val="1"/>
          <w:iCs w:val="1"/>
          <w:color w:val="auto"/>
        </w:rPr>
        <w:t xml:space="preserve">EPA CSAPR and Nitrogen Oxides (“NOx”) Requirements. </w:t>
      </w:r>
      <w:r>
        <w:rPr>
          <w:rFonts w:ascii="Arial" w:cs="Arial" w:eastAsia="Arial" w:hAnsi="Arial"/>
          <w:sz w:val="16"/>
          <w:szCs w:val="16"/>
          <w:color w:val="auto"/>
        </w:rPr>
        <w:t>Coal-fired generation facilities, including those in which Talen has ownership, have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and Pennsylvania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After initially denying the EPA’s request in February 2025, the D.C. Circuit Court of Appeals in April 2025, granted the EPA’s motion requesting the Good Neighbor Plan litigation be held in abeyance pending the EPA’s review of the stayed rule and further orders by the court. As a result, future implementation and enforcement of the Good Neighbor Plan has continued to be uncertain.</w:t>
      </w:r>
    </w:p>
    <w:p>
      <w:pPr>
        <w:spacing w:after="0" w:line="142"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color w:val="auto"/>
        </w:rPr>
        <w:t>In January 2026, the EPA proposed Phase 1 of its reconsideration of the Good Neighbor Plan. In its proposal, the EPA proposes to approve state implementation plan submissions governing interstate emissions from eight states (Alabama, Arizona, Kentucky, Minnesota, Mississippi, Nevada, New Mexico, and Tennessee). If finalized, these states would no longer be subject to Good Neighbor Plan requirements. Although Talen does not operate in any of the states identified in the proposed rule, the EPA in its proposal states that it intends to undertake a separate action to address interstate transport obligations for the remaining states covered under the Good Neighbor Plan. The comment period on the proposal ended in March 2026.</w:t>
      </w:r>
    </w:p>
    <w:p>
      <w:pPr>
        <w:spacing w:after="0" w:line="218"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auto"/>
        </w:rPr>
        <w:t xml:space="preserve">EPA MATS Rule. </w:t>
      </w:r>
      <w:r>
        <w:rPr>
          <w:rFonts w:ascii="Arial" w:cs="Arial" w:eastAsia="Arial" w:hAnsi="Arial"/>
          <w:sz w:val="16"/>
          <w:szCs w:val="16"/>
          <w:color w:val="auto"/>
        </w:rPr>
        <w:t>In May 2024, the EPA published a rule that requires coal-fired generation facilities to reduce particulate matter emissions by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of 2027 (or 2028, if an extension is approved) (the “2024 EPA MATS Rule”). Challenges to the 2024 EPA MATS Rule were filed in the D.C. Circuit Court of Appeals, including by Talen and 23 states. The appeal on the merits of the 2024 rule remains pending in the D.C. Circuit Court of Appeals, but the litigation has been held in abeyance since February 2025, while the EPA reconsidered the rule. In February 2026, the EPA completed its reconsideration and issued a final rule repealing the lower particulate matter standards set in the 2024 amendments and reverting to particulate matter standards promulgated in the 2012 EPA MATS Rule (the “MATS Repeal Rule”). In March 2026, environmental groups challenged the MATS Repeal Rule in the D.C. Circuit Court of Appeals. Talen filed a motion to intervene in the MATS Repeal Rule litigation in April 2026, which was granted in July 2026. The D.C. Circuit Court of Appeals issued an order holding the challenge to the 2024 EPA MATS Rule in abeyance until the litigation over EPA’s MATS Repeal Rule is fully resolved. In April 2026, environmental groups challenging the MATS Repeal Rule also filed an administrative petition requesting that the EPA reconsider the final rule. In May 2026, the petitioners filed a motion requesting that the D.C. Circuit Court of Appeals hold litigation over the MATS Repeal Rule in abeyance for six months to allow the EPA to act on their petition for reconsideration. The D.C. Circuit Court of Appeals granted that motion in August 2026 and directed the parties to file motions to govern further proceedings by November 18, 2026. The EPA has filed a motion asking the court to reconsider its abeyance order. No assurance can be provided as to whether the MATS Repeal Rule will survive judicial challenge and when such challenges will be resolved. Colstrip was not expected to meet the 2024 particulate matter standard without substantial upgrades to its control equipment. As a result, if the MATS Repeal Rule is vacated by a court or reconsidered by the EPA in the future, Talen Montana and the other Colstrip co-owners may face the decision either to invest in new cost-prohibitive control equipment or retire the Colstrip facility. Such a decision must be evaluated in conjunction with other compliance requirements.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In April 2025, President Trump granted Colstrip a two-year exemption from compliance obligations of the 2024 EPA MATS Rule via Section 112(i)(4) of the Clean Air Act. Environmental groups filed separate lawsuits in the D.C. Circuit Court of Appeals and the U.S. District Court for D.C., challenging the presidential exemptions issued to Colstrip and other fossil fuel-fired power plants. On August 5, 2025, the EPA filed a motion in each case requesting the courts hold the litigation in abeyance for six months pending the EPA’s efforts to repeal the 2024 EPA MATS Rule. Talen filed motions to intervene in both cases on August 8, 2025. On September 3, 2025, the U.S. District Court for D.C. granted the EPA’s motion to hold the case in abeyance for six months and also granted Talen’s motion to intervene. Plaintiffs filed a motion asking the court to reconsider its decision to hold the case in abeyance. The U.S. District Court for D.C. denied that motion in November 2025. The D.C. Circuit Court of Appeals granted the EPA’s motion for an abeyance and Talen’s motion to intervene in October 2025. In March 2026, both the U.S. District Court for D.C. and the D.C. Circuit Court of Appeals granted plaintiffs’ motions to hold the case in abeyance until the litigation over the EPA’s MATS Repeal Rule is fully resolved. The Company could be forced to make operating decisions about the future of Colstrip before clarity is obtained on legal challenges regarding the MATS Repeal Rule and the presidential exemption litigation.</w:t>
      </w:r>
    </w:p>
    <w:p>
      <w:pPr>
        <w:spacing w:after="0" w:line="12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EPA GHG Rule. </w:t>
      </w:r>
      <w:r>
        <w:rPr>
          <w:rFonts w:ascii="Arial" w:cs="Arial" w:eastAsia="Arial" w:hAnsi="Arial"/>
          <w:sz w:val="16"/>
          <w:szCs w:val="16"/>
          <w:color w:val="auto"/>
        </w:rPr>
        <w:t>In May 2024, the EPA published a rule that establishes carbon dioxide limits for new electric generating units (“EGUs”) and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spacing w:after="0" w:line="123"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In June 2025, the EPA released a proposed rule to repeal all GHG emission standards for fossil fuel-fired power plants. As an alternative, the EPA proposed a narrower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EPA finalized the alternative proposal in September 2026. Environmental groups have challenged the final rule in the D.C. Circuit Court of Appeals. Separately, the EPA issued a supplemental proposal to further repeal all remaining GHG standards for power plants. In the supplemental proposal, the EPA proposes to find that it lacks statutory authority under Section 111 of the Clean Air Act to regulate GHG emissions from power plants. No assurance can be provided as to whether the final rule will survive judicial review and whether the supplemental proposal will be finalized.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spacing w:after="0" w:line="328"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i w:val="1"/>
          <w:iCs w:val="1"/>
          <w:color w:val="auto"/>
        </w:rPr>
        <w:t xml:space="preserve">GHG Endangerment Finding. </w:t>
      </w:r>
      <w:r>
        <w:rPr>
          <w:rFonts w:ascii="Arial" w:cs="Arial" w:eastAsia="Arial" w:hAnsi="Arial"/>
          <w:sz w:val="16"/>
          <w:szCs w:val="16"/>
          <w:color w:val="auto"/>
        </w:rPr>
        <w:t>In February 2026, the EPA issued a final rule rescinding its 2009 finding that GHG emissions endanger public health and</w:t>
      </w:r>
      <w:r>
        <w:rPr>
          <w:rFonts w:ascii="Arial" w:cs="Arial" w:eastAsia="Arial" w:hAnsi="Arial"/>
          <w:sz w:val="16"/>
          <w:szCs w:val="16"/>
          <w:i w:val="1"/>
          <w:iCs w:val="1"/>
          <w:color w:val="auto"/>
        </w:rPr>
        <w:t xml:space="preserve"> </w:t>
      </w:r>
      <w:r>
        <w:rPr>
          <w:rFonts w:ascii="Arial" w:cs="Arial" w:eastAsia="Arial" w:hAnsi="Arial"/>
          <w:sz w:val="16"/>
          <w:szCs w:val="16"/>
          <w:color w:val="auto"/>
        </w:rPr>
        <w:t>welfare and repealing all GHG emissions standards for light-, medium-, and heavy-duty vehicles and engines. The EPA made the 2009 endangerment finding in order to promulgate GHG emission standards for new motor vehicles under Section 202(a) of the Clean Air Act and has subsequently relied on this finding as a basis to regulate other sources of GHGs. In the final rule, the EPA states it must rescind the endangerment finding because it lacks the statutory authority to regulate GHG emissions from vehicles in response to global climate changes concerns. Citizen groups, states, municipalities and cities have challenged the final rule in the D.C. Circuit Court of Appeals. In May 2026, a citizen group representing 18 youth plaintiffs filed a motion requesting that the D.C. Circuit Court of Appeals stay the final rule pending the court’s review. The D.C. Circuit Court of Appeals has not yet ruled on the stay motion. Environmental groups, a coalition of state and local governments, a labor union, and a zero-emission vehicle advocacy group also filed four separate petitions for administrative reconsideration with the EPA. In June 2026, the petitioners notified the EPA that they intended to sue the agency to compel action on their administrative petitions for reconsideration. In July 2026, environmental groups and states filed a separate motion asking the D.C. Circuit Court of Appeals to pause the litigation to allow the EPA to take action on their reconsideration petition. No assurance can be provided as to whether the rule will survive judicial challenge or administrative reconsideration.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46" w:lineRule="auto"/>
        <w:rPr>
          <w:sz w:val="20"/>
          <w:szCs w:val="20"/>
          <w:color w:val="auto"/>
        </w:rPr>
      </w:pPr>
      <w:r>
        <w:rPr>
          <w:rFonts w:ascii="Arial" w:cs="Arial" w:eastAsia="Arial" w:hAnsi="Arial"/>
          <w:sz w:val="16"/>
          <w:szCs w:val="16"/>
          <w:i w:val="1"/>
          <w:iCs w:val="1"/>
          <w:color w:val="auto"/>
        </w:rPr>
        <w:t xml:space="preserve">NSPS for Stationary Combustion Turbines. </w:t>
      </w:r>
      <w:r>
        <w:rPr>
          <w:rFonts w:ascii="Arial" w:cs="Arial" w:eastAsia="Arial" w:hAnsi="Arial"/>
          <w:sz w:val="16"/>
          <w:szCs w:val="16"/>
          <w:color w:val="auto"/>
        </w:rPr>
        <w:t>In January 2026, the EPA finalized a rule revising new source performance standards (“NSPS”) for stationary</w:t>
      </w:r>
      <w:r>
        <w:rPr>
          <w:rFonts w:ascii="Arial" w:cs="Arial" w:eastAsia="Arial" w:hAnsi="Arial"/>
          <w:sz w:val="16"/>
          <w:szCs w:val="16"/>
          <w:i w:val="1"/>
          <w:iCs w:val="1"/>
          <w:color w:val="auto"/>
        </w:rPr>
        <w:t xml:space="preserve"> </w:t>
      </w:r>
      <w:r>
        <w:rPr>
          <w:rFonts w:ascii="Arial" w:cs="Arial" w:eastAsia="Arial" w:hAnsi="Arial"/>
          <w:sz w:val="16"/>
          <w:szCs w:val="16"/>
          <w:color w:val="auto"/>
        </w:rPr>
        <w:t>combustion turbines. The final rule establishes NOx emission standards for various combustion turbine sizes, retains existing SO</w:t>
      </w:r>
      <w:r>
        <w:rPr>
          <w:rFonts w:ascii="Arial" w:cs="Arial" w:eastAsia="Arial" w:hAnsi="Arial"/>
          <w:sz w:val="21"/>
          <w:szCs w:val="21"/>
          <w:color w:val="auto"/>
          <w:vertAlign w:val="subscript"/>
        </w:rPr>
        <w:t>2</w:t>
      </w:r>
      <w:r>
        <w:rPr>
          <w:rFonts w:ascii="Arial" w:cs="Arial" w:eastAsia="Arial" w:hAnsi="Arial"/>
          <w:sz w:val="16"/>
          <w:szCs w:val="16"/>
          <w:color w:val="auto"/>
        </w:rPr>
        <w:t xml:space="preserve"> standards and establishes design efficiency subcategories and utilization requirements. The final rule applies to combustion turbines that commenced construction, modification, or reconstruction after December 13, 2024. As a result, the rule could impact certain, newer generating assets of the Company or development projects. In March 2026, environmental groups challenged the final rule in the D.C. Circuit Court of Appeals and separately filed with the EPA a petition for administrative reconsideration. In May 2026, petitioners requested that the D.C. Circuit Court of Appeals hold the case in abeyance to provide the EPA additional time to take action on their pending reconsideration petition. Talen is a member of an ad hoc industry coalition that filed a motion to intervene in the case in April 2026. The D.C. Circuit Court of Appeals granted the coalition’s motion to intervene in May 2026, and the EPA’s motion to hold the case in abeyance in July</w:t>
      </w:r>
    </w:p>
    <w:p>
      <w:pPr>
        <w:spacing w:after="0" w:line="1"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2026. No assurance can be provided as to when the challenges to the final NSPS will be resolved or whether such challenges will be resolved in the Company’s favor.</w:t>
      </w:r>
    </w:p>
    <w:p>
      <w:pPr>
        <w:spacing w:after="0" w:line="104"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October 2019, the then-Governor of Pennsylvania signed an executive order directing the Pennsylvania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In November 2025, the Pennsylvania legislature passed a budget that included provisions requiring Pennsylvania to withdraw from RGGI. As a result, the PADEP filed an application to the Pennsylvania Supreme Court requesting to discontinue its appeal. The Pennsylvania Supreme Court granted the application and dismissed the case in January 2026.</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EPA ELG Rule. </w:t>
      </w:r>
      <w:r>
        <w:rPr>
          <w:rFonts w:ascii="Arial" w:cs="Arial" w:eastAsia="Arial" w:hAnsi="Arial"/>
          <w:sz w:val="16"/>
          <w:szCs w:val="16"/>
          <w:color w:val="auto"/>
        </w:rPr>
        <w:t>In November 2015, the EPA revised the effluent limitation guidelines (“ELGs”) for certain power generation facilities, which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w:t>
      </w:r>
    </w:p>
    <w:p>
      <w:pPr>
        <w:spacing w:after="0" w:line="141" w:lineRule="exact"/>
        <w:rPr>
          <w:sz w:val="20"/>
          <w:szCs w:val="20"/>
          <w:color w:val="auto"/>
        </w:rPr>
      </w:pPr>
    </w:p>
    <w:p>
      <w:pPr>
        <w:ind w:right="160" w:firstLine="324"/>
        <w:spacing w:after="0" w:line="260"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(“UWAG”), of which Talen is a member. The appeals have been consolidated in the U.S. Court of Appeals for the Eighth Circuit, which denied requests to stay the rule in October 2024. At the EPA’s request, the Eighth Circuit has held the consolidated challenges in abeyance since February 2025 to allow the EPA to reconsider the rule. No assurance can be provided as to when the challenges to the 2024 EPA ELG Rule will be resolved.</w:t>
      </w:r>
    </w:p>
    <w:p>
      <w:pPr>
        <w:spacing w:after="0" w:line="137"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In March 2025, the EPA announced that it will revise the EPA ELG Rule as part of its deregulation agenda while considering immediate relief from some of the existing leachate requirements. In September 2025, the EPA issued a direct final rule extending a short-term deadline and a companion proposal extending many compliance deadlines for the 2024 EPA ELG Rule and providing some flexibility relating to some deadlines in the 2020 ELG Rule. In November 2025, the EPA issued a notice withdrawing the direct final rule due to the receipt of adverse comments. The EPA finalized its proposal in December 2025. Among other things, the final rule extends zero-discharge compliance deadlines established in the 2024 EPA ELG Rule by five years from December 31, 2029 to December 31, 2034. The extension rule has been legally challenged by environmental groups. These challenges have been consolidated in the U.S. Court of Appeals for the Second Circuit and remain ongoing. In March 2026, the court granted UWAG’s motion to intervene in the consolidated litigation. In May 2026, the EPA issued a separate proposal to revise the 2024 ELG for unmanaged combustion residual leachate (“UCRL”). In the proposed rule, the EPA outlines three proposed regulatory options to address UCRL, proposes new provisions to clarify the applicability of UCRL limits, and seeks additional information to inform further potential revisions to the 2024 EPA ELG Rule. Talen submitted comments on the proposal in June 2026. The comment period for the proposal ended on June 17, 2026. No assurance can be provided as to whether the EPA will finalize changes to the EPA ELG Rule and whether any changes will survive judicial review.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6"/>
          <w:szCs w:val="16"/>
          <w:i w:val="1"/>
          <w:iCs w:val="1"/>
          <w:color w:val="auto"/>
        </w:rPr>
        <w:t xml:space="preserve">EPA CCR Rule. </w:t>
      </w:r>
      <w:r>
        <w:rPr>
          <w:rFonts w:ascii="Arial" w:cs="Arial" w:eastAsia="Arial" w:hAnsi="Arial"/>
          <w:sz w:val="16"/>
          <w:szCs w:val="16"/>
          <w:color w:val="auto"/>
        </w:rPr>
        <w:t>In April 2015, the EPA established regulations under the RCRA to identify CCRs as nonhazardous solid waste and provided CCR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w:t>
      </w:r>
    </w:p>
    <w:p>
      <w:pPr>
        <w:spacing w:after="0" w:line="142"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In March 2025, the EPA announced that it would prioritize the coal ash program by expediting state permit reviews. The EPA also announced it would reform the EPA CCR Rule and provided in the Legacy CCR Rule litigation proceeding that EPA CCR Rule reforms will be completed in 2026. As an initial reform step, in February 2026, the EPA issued a final rule extending compliance deadlines for elements in the Legacy CCR Rule, including required applicability assessments, the initiation of new groundwater monitoring detection, and the initiation of unit closure. In April 2026, the EPA issued a proposal to amend various provisions in the CCR regulations. Among other things, the EPA proposes to rescind all requirements for CCRMUs, restore the categorical exemption for onsite beneficial use of CCR, and allow for site-specific flexibilities for closures of CCR units through a CCR permitting program. The comment deadline for the CCR proposal was June 29, 2026. Talen submitted comments in support of the EPA’s proposed amendments to the CCR regulations. In May 2026, the EPA also reopened the comment period for its 2020 proposal to establish a federal permit program for the disposal of CCR. Talen submitted comments in support of a federal CCR permit program. In July 2026, the EPA issued an advanced notice of proposed rulemaking for the potential establishment of a CCR general permit program. Talen submitted comments on the advanced notice in October 2026. No assurance can be provided as to when and how federal CCR regulations will change further, when the legal challenges to the Legacy CCR Rule will be resolved, how the EPA’s interpretations or further EPA CCR Rule reforms will be resolved, or whether such challenges will be decided in the Company’s favor.</w:t>
      </w:r>
    </w:p>
    <w:p>
      <w:pPr>
        <w:spacing w:after="0" w:line="129"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Talen continues to review the Legacy CCR Rule provisions that went into effect in 2024, perform the required applicability assessments, and await additional EPA CCR Rule reforms. As a result of the EPA’s February 2026 CCRMU Extension Rule, initial facility evaluation reports to identify CCR areas which may become regulated and subject to the rule’s requirements are now due in February 2027. Following that, site investigation may be required to further investigate applicability, and a subsequent facility report is due in February 2028. The Company has initiated reviews under the facility evaluation report requirements at locations with ash impoundments that have long since ceased coal operations as well as at locations with current coal operations to meet these deadlines. No assurance can be provided as to whether any specific ash impoundments owned by the Company may or may not be within scope of the updated Legacy CCR Rule until the Company completes its assessments within the regulatory timeframe.</w:t>
      </w:r>
    </w:p>
    <w:p>
      <w:pPr>
        <w:spacing w:after="0" w:line="120"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As of September 30, 2026,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Certain Resolved Matters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Annual Financial Statements for certain legal matters previously resolved.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September 30, 2026 and December 31, 2025, the aggregate amount of surety bonds outstanding was $224 million and $228 million, respectively, including surety bonds posted on behalf of Talen Montana as discussed below.</w:t>
      </w:r>
    </w:p>
    <w:p>
      <w:pPr>
        <w:spacing w:after="0" w:line="12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36" w:lineRule="exact"/>
        <w:rPr>
          <w:sz w:val="20"/>
          <w:szCs w:val="20"/>
          <w:color w:val="auto"/>
        </w:rPr>
      </w:pPr>
    </w:p>
    <w:p>
      <w:pPr>
        <w:ind w:right="200" w:firstLine="324"/>
        <w:spacing w:after="0" w:line="260"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$103 million and $114 million as of September 30, 2026 and December 31, 2025,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Long-Term Debt and Other Credit Facilities</w:t>
      </w:r>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TES is the borrower/issuer under all the Company’s debt and credit facilities. As of September 30, 2026, TES was not in default under any of its debt or credit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Long-Term Debt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(a)</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8"/>
                <w:szCs w:val="18"/>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22"/>
        </w:trPr>
        <w:tc>
          <w:tcPr>
            <w:tcW w:w="67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2025</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5.48 %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848</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TLB-2</w:t>
            </w:r>
          </w:p>
        </w:tc>
        <w:tc>
          <w:tcPr>
            <w:tcW w:w="1400" w:type="dxa"/>
            <w:vAlign w:val="bottom"/>
          </w:tcPr>
          <w:p>
            <w:pPr>
              <w:jc w:val="center"/>
              <w:spacing w:after="0"/>
              <w:rPr>
                <w:sz w:val="20"/>
                <w:szCs w:val="20"/>
                <w:color w:val="auto"/>
              </w:rPr>
            </w:pPr>
            <w:r>
              <w:rPr>
                <w:rFonts w:ascii="Arial" w:cs="Arial" w:eastAsia="Arial" w:hAnsi="Arial"/>
                <w:sz w:val="14"/>
                <w:szCs w:val="14"/>
                <w:color w:val="auto"/>
              </w:rPr>
              <w:t>5.48 %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842</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TLB-3</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5.32 %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8.625 %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2031 Unsecured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6.125 %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2033 Unsecured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6.375 %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2034 Unsecured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6.250 %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1,400</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2036 Unsecured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6.500 %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r>
      <w:tr>
        <w:trPr>
          <w:trHeight w:val="194"/>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PEDFA 2009C Bonds</w:t>
            </w:r>
          </w:p>
        </w:tc>
        <w:tc>
          <w:tcPr>
            <w:tcW w:w="1400" w:type="dxa"/>
            <w:vAlign w:val="bottom"/>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principal</w:t>
            </w:r>
          </w:p>
        </w:tc>
        <w:tc>
          <w:tcPr>
            <w:tcW w:w="100" w:type="dxa"/>
            <w:vAlign w:val="bottom"/>
            <w:tcBorders>
              <w:top w:val="single" w:sz="8" w:color="E1E1E2"/>
            </w:tcBorders>
            <w:shd w:val="clear" w:color="auto" w:fill="E1E1E2"/>
          </w:tcPr>
          <w:p>
            <w:pPr>
              <w:spacing w:after="0"/>
              <w:rPr>
                <w:sz w:val="17"/>
                <w:szCs w:val="17"/>
                <w:color w:val="auto"/>
              </w:rPr>
            </w:pPr>
          </w:p>
        </w:tc>
        <w:tc>
          <w:tcPr>
            <w:tcW w:w="1400" w:type="dxa"/>
            <w:vAlign w:val="bottom"/>
            <w:tcBorders>
              <w:top w:val="single" w:sz="8" w:color="auto"/>
            </w:tcBorders>
            <w:shd w:val="clear" w:color="auto" w:fill="E1E1E2"/>
          </w:tcPr>
          <w:p>
            <w:pPr>
              <w:spacing w:after="0"/>
              <w:rPr>
                <w:sz w:val="17"/>
                <w:szCs w:val="17"/>
                <w:color w:val="auto"/>
              </w:rPr>
            </w:pPr>
          </w:p>
        </w:tc>
        <w:tc>
          <w:tcPr>
            <w:tcW w:w="100" w:type="dxa"/>
            <w:vAlign w:val="bottom"/>
            <w:tcBorders>
              <w:top w:val="single" w:sz="8" w:color="E1E1E2"/>
            </w:tcBorders>
            <w:shd w:val="clear" w:color="auto" w:fill="E1E1E2"/>
          </w:tcPr>
          <w:p>
            <w:pPr>
              <w:spacing w:after="0"/>
              <w:rPr>
                <w:sz w:val="17"/>
                <w:szCs w:val="17"/>
                <w:color w:val="auto"/>
              </w:rPr>
            </w:pPr>
          </w:p>
        </w:tc>
        <w:tc>
          <w:tcPr>
            <w:tcW w:w="54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9,689</w:t>
            </w:r>
          </w:p>
        </w:tc>
        <w:tc>
          <w:tcPr>
            <w:tcW w:w="100" w:type="dxa"/>
            <w:vAlign w:val="bottom"/>
            <w:tcBorders>
              <w:top w:val="single" w:sz="8" w:color="E1E1E2"/>
            </w:tcBorders>
            <w:shd w:val="clear" w:color="auto" w:fill="E1E1E2"/>
          </w:tcPr>
          <w:p>
            <w:pPr>
              <w:spacing w:after="0"/>
              <w:rPr>
                <w:sz w:val="17"/>
                <w:szCs w:val="17"/>
                <w:color w:val="auto"/>
              </w:rPr>
            </w:pPr>
          </w:p>
        </w:tc>
        <w:tc>
          <w:tcPr>
            <w:tcW w:w="54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6,911</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Unamortized deferred financing costs and original issuance discounts</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0"/>
        </w:trPr>
        <w:tc>
          <w:tcPr>
            <w:tcW w:w="8340" w:type="dxa"/>
            <w:vAlign w:val="bottom"/>
            <w:gridSpan w:val="4"/>
            <w:shd w:val="clear" w:color="auto" w:fill="E1E1E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9,569</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6,811</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9"/>
        </w:trPr>
        <w:tc>
          <w:tcPr>
            <w:tcW w:w="8340" w:type="dxa"/>
            <w:vAlign w:val="bottom"/>
            <w:gridSpan w:val="4"/>
            <w:shd w:val="clear" w:color="auto" w:fill="E1E1E2"/>
          </w:tcPr>
          <w:p>
            <w:pPr>
              <w:ind w:left="20"/>
              <w:spacing w:after="0"/>
              <w:rPr>
                <w:sz w:val="20"/>
                <w:szCs w:val="20"/>
                <w:color w:val="auto"/>
              </w:rPr>
            </w:pPr>
            <w:r>
              <w:rPr>
                <w:rFonts w:ascii="Arial" w:cs="Arial" w:eastAsia="Arial" w:hAnsi="Arial"/>
                <w:sz w:val="14"/>
                <w:szCs w:val="14"/>
                <w:b w:val="1"/>
                <w:bCs w:val="1"/>
                <w:color w:val="auto"/>
              </w:rPr>
              <w:t>Long-term debt</w:t>
            </w: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9,540</w:t>
            </w:r>
          </w:p>
        </w:tc>
        <w:tc>
          <w:tcPr>
            <w:tcW w:w="100" w:type="dxa"/>
            <w:vAlign w:val="bottom"/>
            <w:shd w:val="clear" w:color="auto" w:fill="E1E1E2"/>
          </w:tcPr>
          <w:p>
            <w:pPr>
              <w:spacing w:after="0"/>
              <w:rPr>
                <w:sz w:val="19"/>
                <w:szCs w:val="19"/>
                <w:color w:val="auto"/>
              </w:rPr>
            </w:pP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6,782</w:t>
            </w:r>
          </w:p>
        </w:tc>
      </w:tr>
      <w:tr>
        <w:trPr>
          <w:trHeight w:val="20"/>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Computed interest rate as of September 30, 2026, except the interest rate related to the Secured Notes which were redeemed in April 2026.</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September 30, 2026</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2"/>
                <w:szCs w:val="12"/>
                <w:color w:val="auto"/>
              </w:rPr>
            </w:pPr>
          </w:p>
        </w:tc>
        <w:tc>
          <w:tcPr>
            <w:tcW w:w="11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Direct Cash</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LCs Issued</w:t>
            </w:r>
          </w:p>
        </w:tc>
        <w:tc>
          <w:tcPr>
            <w:tcW w:w="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98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Unused</w:t>
            </w:r>
          </w:p>
        </w:tc>
        <w:tc>
          <w:tcPr>
            <w:tcW w:w="120" w:type="dxa"/>
            <w:vAlign w:val="bottom"/>
          </w:tcPr>
          <w:p>
            <w:pPr>
              <w:spacing w:after="0"/>
              <w:rPr>
                <w:sz w:val="12"/>
                <w:szCs w:val="12"/>
                <w:color w:val="auto"/>
              </w:rPr>
            </w:pPr>
          </w:p>
        </w:tc>
        <w:tc>
          <w:tcPr>
            <w:tcW w:w="104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2"/>
                <w:szCs w:val="12"/>
                <w:color w:val="auto"/>
              </w:rPr>
            </w:pPr>
          </w:p>
        </w:tc>
        <w:tc>
          <w:tcPr>
            <w:tcW w:w="11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Direct Cash</w:t>
            </w: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LCs Issued</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900" w:type="dxa"/>
            <w:vAlign w:val="bottom"/>
          </w:tcPr>
          <w:p>
            <w:pPr>
              <w:jc w:val="right"/>
              <w:ind w:right="188"/>
              <w:spacing w:after="0" w:line="143" w:lineRule="exact"/>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99"/>
        </w:trPr>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Borrowings</w:t>
            </w: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1E1E2"/>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Borrowings</w:t>
            </w: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199"/>
        </w:trPr>
        <w:tc>
          <w:tcPr>
            <w:tcW w:w="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RCF</w:t>
            </w:r>
          </w:p>
        </w:tc>
        <w:tc>
          <w:tcPr>
            <w:tcW w:w="150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December 2029</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1E1E2"/>
          </w:tcPr>
          <w:p>
            <w:pPr>
              <w:jc w:val="center"/>
              <w:ind w:left="588"/>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E1E1E2"/>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1E1E2"/>
          </w:tcPr>
          <w:p>
            <w:pPr>
              <w:ind w:left="140"/>
              <w:spacing w:after="0"/>
              <w:rPr>
                <w:sz w:val="20"/>
                <w:szCs w:val="20"/>
                <w:color w:val="auto"/>
              </w:rPr>
            </w:pPr>
            <w:r>
              <w:rPr>
                <w:rFonts w:ascii="Arial" w:cs="Arial" w:eastAsia="Arial" w:hAnsi="Arial"/>
                <w:sz w:val="14"/>
                <w:szCs w:val="14"/>
                <w:color w:val="auto"/>
              </w:rPr>
              <w:t>—   $</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1E1E2"/>
          </w:tcPr>
          <w:p>
            <w:pPr>
              <w:jc w:val="center"/>
              <w:ind w:left="588"/>
              <w:spacing w:after="0"/>
              <w:rPr>
                <w:sz w:val="20"/>
                <w:szCs w:val="20"/>
                <w:color w:val="auto"/>
              </w:rPr>
            </w:pPr>
            <w:r>
              <w:rPr>
                <w:rFonts w:ascii="Arial" w:cs="Arial" w:eastAsia="Arial" w:hAnsi="Arial"/>
                <w:sz w:val="14"/>
                <w:szCs w:val="14"/>
                <w:color w:val="auto"/>
                <w:w w:val="99"/>
              </w:rPr>
              <w:t>—</w:t>
            </w: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E1E1E2"/>
          </w:tcPr>
          <w:p>
            <w:pPr>
              <w:ind w:left="160"/>
              <w:spacing w:after="0"/>
              <w:rPr>
                <w:sz w:val="20"/>
                <w:szCs w:val="20"/>
                <w:color w:val="auto"/>
              </w:rPr>
            </w:pPr>
            <w:r>
              <w:rPr>
                <w:rFonts w:ascii="Arial" w:cs="Arial" w:eastAsia="Arial" w:hAnsi="Arial"/>
                <w:sz w:val="14"/>
                <w:szCs w:val="14"/>
                <w:color w:val="auto"/>
              </w:rPr>
              <w:t>—   $</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8"/>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LCF</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2029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Direct cash borrowings are not permitted under the LCF, which can only be used for LCs.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43"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Transactions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second quarter 2026, TES entered into various amendments to the Credit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Repricing Transactions. </w:t>
      </w:r>
      <w:r>
        <w:rPr>
          <w:rFonts w:ascii="Arial" w:cs="Arial" w:eastAsia="Arial" w:hAnsi="Arial"/>
          <w:sz w:val="16"/>
          <w:szCs w:val="16"/>
          <w:color w:val="auto"/>
        </w:rPr>
        <w:t>In May 2026, TES repriced the RCF, TLB-1 and TLB-2 to each bear interest at:</w:t>
      </w:r>
    </w:p>
    <w:p>
      <w:pPr>
        <w:spacing w:after="0" w:line="167" w:lineRule="exact"/>
        <w:rPr>
          <w:sz w:val="20"/>
          <w:szCs w:val="20"/>
          <w:color w:val="auto"/>
        </w:rPr>
      </w:pPr>
    </w:p>
    <w:p>
      <w:pPr>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variable interest rate equal to the highest of: (i) the Federal Funds Effective Rate on such day plus 0.50%; (ii) The Wall Street Journal “U.S. Prime Rate;” or (iii) the one-month Adjusted Term SOFR Rate plus 1%; plus in each case, an applicable margin (0.50% with respect to the RCF and 0.75% with respect to the TLB-1 and TLB-2); or</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Adjusted Term SOFR Rate, plus an applicable margin (1.50% with respect to the RCF and 1.75% with respect to the TLB-1 and TLB-2).</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Upsizes and Extensions.</w:t>
      </w:r>
    </w:p>
    <w:p>
      <w:pPr>
        <w:spacing w:after="0" w:line="165" w:lineRule="exact"/>
        <w:rPr>
          <w:sz w:val="20"/>
          <w:szCs w:val="20"/>
          <w:color w:val="auto"/>
        </w:rPr>
      </w:pPr>
    </w:p>
    <w:p>
      <w:pPr>
        <w:ind w:left="660" w:right="18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June 2026, in connection with the closing of the Cornerstone Acquisition, TES (i) upsized the existing RCF (including its revolving LC capacity) from $900 million to $1.35 billion; and (ii) upsized its existing $1.1 billion LCF to $1.5 billion and extended its maturity from December 2027 to December 2029.</w:t>
      </w:r>
    </w:p>
    <w:p>
      <w:pPr>
        <w:spacing w:after="0" w:line="110" w:lineRule="exact"/>
        <w:rPr>
          <w:rFonts w:ascii="Arial" w:cs="Arial" w:eastAsia="Arial" w:hAnsi="Arial"/>
          <w:sz w:val="16"/>
          <w:szCs w:val="16"/>
          <w:color w:val="auto"/>
        </w:rPr>
      </w:pPr>
    </w:p>
    <w:p>
      <w:pPr>
        <w:ind w:left="660" w:right="44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May 2026, TES extended its TLB-1 maturity from May 2030 to November 2032. In connection with the TLB-1 extension, approximately $18 million is presented as “Interest expense and other finance charges” on the Consolidated Statement of Operations primarily consisting of the derecognition of TLB-1 capitalized original issuance discount and deferred financing costs.</w:t>
      </w:r>
    </w:p>
    <w:p>
      <w:pPr>
        <w:spacing w:after="0" w:line="110"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i w:val="1"/>
          <w:iCs w:val="1"/>
          <w:color w:val="auto"/>
        </w:rPr>
        <w:t xml:space="preserve">Unsecured Notes due 2031 and 2033. </w:t>
      </w:r>
      <w:r>
        <w:rPr>
          <w:rFonts w:ascii="Arial" w:cs="Arial" w:eastAsia="Arial" w:hAnsi="Arial"/>
          <w:sz w:val="16"/>
          <w:szCs w:val="16"/>
          <w:color w:val="auto"/>
        </w:rPr>
        <w:t>In April 2026, TES issued in private placement transactions not involving a public offering, and each at par: (i)</w:t>
      </w:r>
      <w:r>
        <w:rPr>
          <w:rFonts w:ascii="Arial" w:cs="Arial" w:eastAsia="Arial" w:hAnsi="Arial"/>
          <w:sz w:val="16"/>
          <w:szCs w:val="16"/>
          <w:i w:val="1"/>
          <w:iCs w:val="1"/>
          <w:color w:val="auto"/>
        </w:rPr>
        <w:t xml:space="preserve"> </w:t>
      </w:r>
      <w:r>
        <w:rPr>
          <w:rFonts w:ascii="Arial" w:cs="Arial" w:eastAsia="Arial" w:hAnsi="Arial"/>
          <w:sz w:val="16"/>
          <w:szCs w:val="16"/>
          <w:color w:val="auto"/>
        </w:rPr>
        <w:t>$1.5 billion in aggregate principal amount of 6.125% Senior Unsecured Notes due 2031, with interest payable on May 1 and November 1 of each year; and</w:t>
      </w:r>
    </w:p>
    <w:p>
      <w:pPr>
        <w:spacing w:after="0" w:line="1" w:lineRule="exact"/>
        <w:rPr>
          <w:sz w:val="20"/>
          <w:szCs w:val="20"/>
          <w:color w:val="auto"/>
        </w:rPr>
      </w:pPr>
    </w:p>
    <w:p>
      <w:pPr>
        <w:ind w:right="220" w:firstLine="8"/>
        <w:spacing w:after="0" w:line="264"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$2.5 billion in aggregate principal amount of 6.375% Senior Unsecured Notes due 2033, with interest payable on May 1 and November 1 of each year. The net proceeds from the issuance and sale of the Unsecured Notes due 2031 and 2033 were used to (i) fund the cash portion of the Cornerstone Acquisition; and (ii) redeem the Company’s outstanding Secured Notes.</w:t>
      </w:r>
    </w:p>
    <w:p>
      <w:pPr>
        <w:spacing w:after="0" w:line="11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6"/>
          <w:szCs w:val="16"/>
          <w:color w:val="auto"/>
        </w:rPr>
        <w:t>Additionally, in June 2026, in connection with the closing of the Cornerstone Acquisition, TES entered into (i) First Supplemental Indentures to each of the indentures governing the Unsecured Notes due 2031 and 2033; and (ii) Second Supplemental Indentures to each of the indentures governing the Unsecured Notes due 2034 and 2036, in each case, to add the entities acquired or formed in connection with the Cornerstone Acquisition as subsidiary guarantors to each series of Unsecured Notes, respectively.</w:t>
      </w:r>
    </w:p>
    <w:p>
      <w:pPr>
        <w:spacing w:after="0" w:line="114"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i w:val="1"/>
          <w:iCs w:val="1"/>
          <w:color w:val="auto"/>
        </w:rPr>
        <w:t xml:space="preserve">Secured Notes. </w:t>
      </w:r>
      <w:r>
        <w:rPr>
          <w:rFonts w:ascii="Arial" w:cs="Arial" w:eastAsia="Arial" w:hAnsi="Arial"/>
          <w:sz w:val="16"/>
          <w:szCs w:val="16"/>
          <w:color w:val="auto"/>
        </w:rPr>
        <w:t>In April 2026, TES redeemed in full the Company’s outstanding Secured Notes in aggregate principal amount of $1.2 billion, using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net proceeds from the issuance and sale of the Unsecured Notes due 2031 and 2033. In connection with the redemption, approximately $60 million is presented as “Interest expense and other finance charges” on the Consolidated Statement of Operations primarily consisting of a make-whole payments and the derecognition of capitalized deferred financing costs.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additional information on the Cornerstone Acquisition.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Material Terms; Security Interests</w:t>
      </w:r>
    </w:p>
    <w:p>
      <w:pPr>
        <w:spacing w:after="0" w:line="165" w:lineRule="exact"/>
        <w:rPr>
          <w:sz w:val="20"/>
          <w:szCs w:val="20"/>
          <w:color w:val="auto"/>
        </w:rPr>
      </w:pPr>
    </w:p>
    <w:p>
      <w:pPr>
        <w:ind w:right="400" w:firstLine="324"/>
        <w:spacing w:after="0" w:line="275" w:lineRule="auto"/>
        <w:rPr>
          <w:sz w:val="20"/>
          <w:szCs w:val="20"/>
          <w:color w:val="auto"/>
        </w:rPr>
      </w:pPr>
      <w:r>
        <w:rPr>
          <w:rFonts w:ascii="Arial" w:cs="Arial" w:eastAsia="Arial" w:hAnsi="Arial"/>
          <w:sz w:val="16"/>
          <w:szCs w:val="16"/>
          <w:color w:val="auto"/>
        </w:rPr>
        <w:t>See Note 13 to the Annual Financial Statements for a description of the other material terms of the obligations outlined above and for additional information on the security interests and guarantees supporting these obligations. In addition to the obligations outlined under “Long-Term Debt” and “Revolving Credit and Other Facilities” above, secured obligations included approximately $1.1 billion under Secured ISDAs as of September 30,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7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 See Note 1 to the Annual Financial Statements for additional descriptions on fair value levels.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18"/>
                <w:szCs w:val="18"/>
                <w:color w:val="auto"/>
                <w:vertAlign w:val="superscript"/>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234</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07"/>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689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480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1,900</w:t>
            </w:r>
          </w:p>
        </w:tc>
      </w:tr>
      <w:tr>
        <w:trPr>
          <w:trHeight w:val="97"/>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2,074</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839</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(894)</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2,107</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1,529</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575</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250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(396)</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1,960</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4"/>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880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156</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985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880</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(1,005)</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860</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407</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201</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(440)</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fixed income funds and real estate investment trusts.</w:t>
      </w: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(ii) net sold or purchased investments, but not settled; and (iii) cash on hand.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recurring fair value measurements classified as Level 3 as of September 30, 2026 and December 31, 2025.</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Nonrecurring Fair Value Measurements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material nonrecurring fair value measurements during the three and nine months ended September 30, 2026 and 2025.</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16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“Restricted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“Accounts receivable</w:t>
      </w:r>
      <w:r>
        <w:rPr>
          <w:rFonts w:ascii="Arial" w:cs="Arial" w:eastAsia="Arial" w:hAnsi="Arial"/>
          <w:sz w:val="16"/>
          <w:szCs w:val="16"/>
          <w:i w:val="1"/>
          <w:iCs w:val="1"/>
          <w:color w:val="auto"/>
        </w:rPr>
        <w:t>,</w:t>
      </w:r>
      <w:r>
        <w:rPr>
          <w:rFonts w:ascii="Arial" w:cs="Arial" w:eastAsia="Arial" w:hAnsi="Arial"/>
          <w:sz w:val="16"/>
          <w:szCs w:val="16"/>
          <w:color w:val="auto"/>
        </w:rPr>
        <w:t>” and “Accounts payable and other accrued liabilities” approximate fair value.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and fair value (classified as Level 2)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5260" w:type="dxa"/>
            <w:vAlign w:val="bottom"/>
            <w:tcBorders>
              <w:bottom w:val="single" w:sz="8" w:color="auto"/>
            </w:tcBorders>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9,569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9,344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6,811</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7,069</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0"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Postretirement Benefit Obligations</w:t>
      </w:r>
    </w:p>
    <w:p>
      <w:pPr>
        <w:spacing w:after="0" w:line="167"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a defined contribution plan.</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net periodic benefit costs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49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Postretirement benefits service cost </w:t>
            </w:r>
            <w:r>
              <w:rPr>
                <w:rFonts w:ascii="Arial" w:cs="Arial" w:eastAsia="Arial" w:hAnsi="Arial"/>
                <w:sz w:val="18"/>
                <w:szCs w:val="18"/>
                <w:b w:val="1"/>
                <w:bCs w:val="1"/>
                <w:color w:val="auto"/>
                <w:vertAlign w:val="superscript"/>
              </w:rPr>
              <w:t>(a)</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102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r>
      <w:tr>
        <w:trPr>
          <w:trHeight w:val="255"/>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Postretirement benefit (gain) loss</w:t>
            </w: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3"/>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102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6"/>
              </w:rPr>
              <w:t>(19)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Amortization of:</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Postretirement prior service cost (credit)</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4840" w:type="dxa"/>
            <w:vAlign w:val="bottom"/>
            <w:tcBorders>
              <w:bottom w:val="single" w:sz="8" w:color="auto"/>
            </w:tcBorders>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Postretirement benefit (gain) loss, net </w:t>
            </w:r>
            <w:r>
              <w:rPr>
                <w:rFonts w:ascii="Arial" w:cs="Arial" w:eastAsia="Arial" w:hAnsi="Arial"/>
                <w:sz w:val="18"/>
                <w:szCs w:val="18"/>
                <w:b w:val="1"/>
                <w:bCs w:val="1"/>
                <w:color w:val="auto"/>
                <w:vertAlign w:val="superscript"/>
              </w:rPr>
              <w:t>(b)</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10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(8)</w:t>
            </w:r>
          </w:p>
        </w:tc>
      </w:tr>
      <w:tr>
        <w:trPr>
          <w:trHeight w:val="235"/>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0"/>
                <w:szCs w:val="20"/>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2"/>
        </w:trPr>
        <w:tc>
          <w:tcPr>
            <w:tcW w:w="4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Activity presented as “Operation, maintenance and development” on the Consolidated Statements of Operations.</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Activity presented as “Other non-operating income (expense), net” on the Consolidated Statements of Operations.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Talen Montana Pension Plan</w:t>
      </w:r>
    </w:p>
    <w:p>
      <w:pPr>
        <w:spacing w:after="0" w:line="165" w:lineRule="exact"/>
        <w:rPr>
          <w:sz w:val="20"/>
          <w:szCs w:val="20"/>
          <w:color w:val="auto"/>
        </w:rPr>
      </w:pPr>
    </w:p>
    <w:p>
      <w:pPr>
        <w:ind w:right="700" w:firstLine="324"/>
        <w:spacing w:after="0" w:line="304" w:lineRule="auto"/>
        <w:rPr>
          <w:sz w:val="20"/>
          <w:szCs w:val="20"/>
          <w:color w:val="auto"/>
        </w:rPr>
      </w:pPr>
      <w:r>
        <w:rPr>
          <w:rFonts w:ascii="Arial" w:cs="Arial" w:eastAsia="Arial" w:hAnsi="Arial"/>
          <w:sz w:val="16"/>
          <w:szCs w:val="16"/>
          <w:color w:val="auto"/>
        </w:rPr>
        <w:t>On October 1, 2026, the Company notified the participants of the Talen Montana defined benefit plan of its intent to terminate the plan effective December 1, 2026.</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Stock-Based Compensation</w:t>
      </w:r>
    </w:p>
    <w:p>
      <w:pPr>
        <w:spacing w:after="0" w:line="167"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TEC common stock.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5" w:lineRule="exact"/>
        <w:rPr>
          <w:sz w:val="20"/>
          <w:szCs w:val="20"/>
          <w:color w:val="auto"/>
        </w:rPr>
      </w:pPr>
    </w:p>
    <w:p>
      <w:pPr>
        <w:jc w:val="both"/>
        <w:ind w:right="140" w:firstLine="324"/>
        <w:spacing w:after="0" w:line="265" w:lineRule="auto"/>
        <w:rPr>
          <w:sz w:val="20"/>
          <w:szCs w:val="20"/>
          <w:color w:val="auto"/>
        </w:rPr>
      </w:pPr>
      <w:r>
        <w:rPr>
          <w:rFonts w:ascii="Arial" w:cs="Arial" w:eastAsia="Arial" w:hAnsi="Arial"/>
          <w:sz w:val="16"/>
          <w:szCs w:val="16"/>
          <w:color w:val="auto"/>
        </w:rPr>
        <w:t>PSUs have two or three-year cliff vesting schedules or vest upon consummation of a change in control event based on continued employment and the achievement of certain market conditions over the applicable performance period. Certain participants will be awarded additional PSUs if market conditions exceed certain targets at the time of vesting. The PSUs accrue dividends (if declared and paid) at the same rate as TEC’s common stock. These dividends are paid at the time of vesting.</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non-vested PSUs during the nine months ended September 30, 2026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Equity-Classified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PSUs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tcPr>
          <w:p>
            <w:pPr>
              <w:jc w:val="right"/>
              <w:ind w:right="368"/>
              <w:spacing w:after="0" w:line="189" w:lineRule="exact"/>
              <w:rPr>
                <w:sz w:val="20"/>
                <w:szCs w:val="20"/>
                <w:color w:val="auto"/>
              </w:rPr>
            </w:pPr>
            <w:r>
              <w:rPr>
                <w:rFonts w:ascii="Arial" w:cs="Arial" w:eastAsia="Arial" w:hAnsi="Arial"/>
                <w:sz w:val="14"/>
                <w:szCs w:val="14"/>
                <w:b w:val="1"/>
                <w:bCs w:val="1"/>
                <w:color w:val="auto"/>
              </w:rPr>
              <w:t xml:space="preserve">PSUs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2025</w:t>
            </w:r>
          </w:p>
        </w:tc>
        <w:tc>
          <w:tcPr>
            <w:tcW w:w="14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569,477</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488,857</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1,058,334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147.45</w:t>
            </w:r>
          </w:p>
        </w:tc>
        <w:tc>
          <w:tcPr>
            <w:tcW w:w="0" w:type="dxa"/>
            <w:vAlign w:val="bottom"/>
          </w:tcPr>
          <w:p>
            <w:pPr>
              <w:spacing w:after="0"/>
              <w:rPr>
                <w:sz w:val="1"/>
                <w:szCs w:val="1"/>
                <w:color w:val="auto"/>
              </w:rPr>
            </w:pP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148,411</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148,411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2,016.24</w:t>
            </w:r>
          </w:p>
        </w:tc>
        <w:tc>
          <w:tcPr>
            <w:tcW w:w="0" w:type="dxa"/>
            <w:vAlign w:val="bottom"/>
          </w:tcPr>
          <w:p>
            <w:pPr>
              <w:spacing w:after="0"/>
              <w:rPr>
                <w:sz w:val="1"/>
                <w:szCs w:val="1"/>
                <w:color w:val="auto"/>
              </w:rPr>
            </w:pPr>
          </w:p>
        </w:tc>
      </w:tr>
      <w:tr>
        <w:trPr>
          <w:trHeight w:val="207"/>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(9,789)</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(9,789)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468.34</w:t>
            </w:r>
          </w:p>
        </w:tc>
        <w:tc>
          <w:tcPr>
            <w:tcW w:w="0" w:type="dxa"/>
            <w:vAlign w:val="bottom"/>
          </w:tcPr>
          <w:p>
            <w:pPr>
              <w:spacing w:after="0"/>
              <w:rPr>
                <w:sz w:val="1"/>
                <w:szCs w:val="1"/>
                <w:color w:val="auto"/>
              </w:rPr>
            </w:pPr>
          </w:p>
        </w:tc>
      </w:tr>
      <w:tr>
        <w:trPr>
          <w:trHeight w:val="19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Vested</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(569,477)</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(386,870)</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(956,347)</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Non-vested as of September 30, 2026 </w:t>
            </w:r>
            <w:r>
              <w:rPr>
                <w:rFonts w:ascii="Arial" w:cs="Arial" w:eastAsia="Arial" w:hAnsi="Arial"/>
                <w:sz w:val="18"/>
                <w:szCs w:val="18"/>
                <w:b w:val="1"/>
                <w:bCs w:val="1"/>
                <w:color w:val="auto"/>
                <w:vertAlign w:val="superscript"/>
              </w:rPr>
              <w:t>(b)</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240,609</w:t>
            </w:r>
          </w:p>
        </w:tc>
        <w:tc>
          <w:tcPr>
            <w:tcW w:w="80" w:type="dxa"/>
            <w:vAlign w:val="bottom"/>
            <w:shd w:val="clear" w:color="auto" w:fill="E1E1E2"/>
          </w:tcPr>
          <w:p>
            <w:pPr>
              <w:spacing w:after="0"/>
              <w:rPr>
                <w:sz w:val="19"/>
                <w:szCs w:val="19"/>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240,609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1,435.67</w:t>
            </w:r>
          </w:p>
        </w:tc>
        <w:tc>
          <w:tcPr>
            <w:tcW w:w="0" w:type="dxa"/>
            <w:vAlign w:val="bottom"/>
          </w:tcPr>
          <w:p>
            <w:pPr>
              <w:spacing w:after="0"/>
              <w:rPr>
                <w:sz w:val="1"/>
                <w:szCs w:val="1"/>
                <w:color w:val="auto"/>
              </w:rPr>
            </w:pP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See description of liability-classified awards below.</w:t>
      </w:r>
    </w:p>
    <w:p>
      <w:pPr>
        <w:ind w:left="340" w:right="120" w:hanging="332"/>
        <w:spacing w:after="0"/>
        <w:tabs>
          <w:tab w:leader="none" w:pos="33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target number of PSUs. 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Assuming all non-vested PSUs vested on September 30, 2026 at the then current share price of TEC’s common stock the aggregate non-vested PSUs would be 341,468.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PSUs is determined using a Monte Carlo valuation methodology based on the fair value of the underlying stock price at the grant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inputs and assumptions used in the valuations of PSUs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94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2026</w:t>
            </w:r>
          </w:p>
        </w:tc>
      </w:tr>
      <w:tr>
        <w:trPr>
          <w:trHeight w:val="196"/>
        </w:trPr>
        <w:tc>
          <w:tcPr>
            <w:tcW w:w="952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Volatility </w:t>
            </w:r>
            <w:r>
              <w:rPr>
                <w:rFonts w:ascii="Arial" w:cs="Arial" w:eastAsia="Arial" w:hAnsi="Arial"/>
                <w:sz w:val="18"/>
                <w:szCs w:val="18"/>
                <w:color w:val="auto"/>
                <w:vertAlign w:val="superscript"/>
              </w:rPr>
              <w:t>(a)</w:t>
            </w:r>
          </w:p>
        </w:tc>
        <w:tc>
          <w:tcPr>
            <w:tcW w:w="172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40% - 50%</w:t>
            </w:r>
          </w:p>
        </w:tc>
      </w:tr>
      <w:tr>
        <w:trPr>
          <w:trHeight w:val="198"/>
        </w:trPr>
        <w:tc>
          <w:tcPr>
            <w:tcW w:w="95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2 - 3</w:t>
            </w:r>
          </w:p>
        </w:tc>
      </w:tr>
      <w:tr>
        <w:trPr>
          <w:trHeight w:val="207"/>
        </w:trPr>
        <w:tc>
          <w:tcPr>
            <w:tcW w:w="94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Risk-free rate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3.45%</w:t>
            </w:r>
          </w:p>
        </w:tc>
        <w:tc>
          <w:tcPr>
            <w:tcW w:w="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- 4.37%</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Derived from an option pricing method based on the average asset volatility of peer companies and the Company’s leverage ratio.</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on the U.S. constant maturity treasury rate with a term matching the expected time to the end of the performance measurement period.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65"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color w:val="auto"/>
        </w:rPr>
        <w:t>RSUs have two or three-year ratable or two-year cliff vesting schedules beginning on the grant date. The fair value of RSUs granted is based on the closing price of TEC common stock on the grant date. The RSUs accrue dividends (if declared and paid) at the same rate as TEC’s common stock. These dividends are paid at the time of vesting.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non-vested RSUs during the nine months ended September 30, 2026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Equity-Classified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RSUs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tcPr>
          <w:p>
            <w:pPr>
              <w:jc w:val="right"/>
              <w:ind w:right="368"/>
              <w:spacing w:after="0" w:line="189" w:lineRule="exact"/>
              <w:rPr>
                <w:sz w:val="20"/>
                <w:szCs w:val="20"/>
                <w:color w:val="auto"/>
              </w:rPr>
            </w:pPr>
            <w:r>
              <w:rPr>
                <w:rFonts w:ascii="Arial" w:cs="Arial" w:eastAsia="Arial" w:hAnsi="Arial"/>
                <w:sz w:val="14"/>
                <w:szCs w:val="14"/>
                <w:b w:val="1"/>
                <w:bCs w:val="1"/>
                <w:color w:val="auto"/>
              </w:rPr>
              <w:t xml:space="preserve">RSUs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2025</w:t>
            </w:r>
          </w:p>
        </w:tc>
        <w:tc>
          <w:tcPr>
            <w:tcW w:w="14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169,642</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171,011</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340,653</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106.18</w:t>
            </w:r>
          </w:p>
        </w:tc>
        <w:tc>
          <w:tcPr>
            <w:tcW w:w="0" w:type="dxa"/>
            <w:vAlign w:val="bottom"/>
          </w:tcPr>
          <w:p>
            <w:pPr>
              <w:spacing w:after="0"/>
              <w:rPr>
                <w:sz w:val="1"/>
                <w:szCs w:val="1"/>
                <w:color w:val="auto"/>
              </w:rPr>
            </w:pP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3,358</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73,998</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77,356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390.07</w:t>
            </w:r>
          </w:p>
        </w:tc>
        <w:tc>
          <w:tcPr>
            <w:tcW w:w="0" w:type="dxa"/>
            <w:vAlign w:val="bottom"/>
          </w:tcPr>
          <w:p>
            <w:pPr>
              <w:spacing w:after="0"/>
              <w:rPr>
                <w:sz w:val="1"/>
                <w:szCs w:val="1"/>
                <w:color w:val="auto"/>
              </w:rPr>
            </w:pPr>
          </w:p>
        </w:tc>
      </w:tr>
      <w:tr>
        <w:trPr>
          <w:trHeight w:val="207"/>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(4,633)</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(4,633)</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245.73</w:t>
            </w:r>
          </w:p>
        </w:tc>
        <w:tc>
          <w:tcPr>
            <w:tcW w:w="0" w:type="dxa"/>
            <w:vAlign w:val="bottom"/>
          </w:tcPr>
          <w:p>
            <w:pPr>
              <w:spacing w:after="0"/>
              <w:rPr>
                <w:sz w:val="1"/>
                <w:szCs w:val="1"/>
                <w:color w:val="auto"/>
              </w:rPr>
            </w:pPr>
          </w:p>
        </w:tc>
      </w:tr>
      <w:tr>
        <w:trPr>
          <w:trHeight w:val="19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Vested</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(164,268)</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(123,661)</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(287,929)</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66.93</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September 30, 2026</w:t>
            </w:r>
          </w:p>
        </w:tc>
        <w:tc>
          <w:tcPr>
            <w:tcW w:w="14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8,732</w:t>
            </w:r>
          </w:p>
        </w:tc>
        <w:tc>
          <w:tcPr>
            <w:tcW w:w="80" w:type="dxa"/>
            <w:vAlign w:val="bottom"/>
            <w:shd w:val="clear" w:color="auto" w:fill="E1E1E2"/>
          </w:tcPr>
          <w:p>
            <w:pPr>
              <w:spacing w:after="0"/>
              <w:rPr>
                <w:sz w:val="19"/>
                <w:szCs w:val="19"/>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116,715</w:t>
            </w:r>
          </w:p>
        </w:tc>
        <w:tc>
          <w:tcPr>
            <w:tcW w:w="80" w:type="dxa"/>
            <w:vAlign w:val="bottom"/>
            <w:shd w:val="clear" w:color="auto" w:fill="E1E1E2"/>
          </w:tcPr>
          <w:p>
            <w:pPr>
              <w:spacing w:after="0"/>
              <w:rPr>
                <w:sz w:val="19"/>
                <w:szCs w:val="19"/>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125,447</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322.22</w:t>
            </w:r>
          </w:p>
        </w:tc>
        <w:tc>
          <w:tcPr>
            <w:tcW w:w="0" w:type="dxa"/>
            <w:vAlign w:val="bottom"/>
          </w:tcPr>
          <w:p>
            <w:pPr>
              <w:spacing w:after="0"/>
              <w:rPr>
                <w:sz w:val="1"/>
                <w:szCs w:val="1"/>
                <w:color w:val="auto"/>
              </w:rPr>
            </w:pP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See description of liability-classified awards below.</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Liability-Classified Awards</w:t>
      </w:r>
    </w:p>
    <w:p>
      <w:pPr>
        <w:spacing w:after="0" w:line="16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PSU and RSU awards of certain executive officers that have or are scheduled to vest in 2026 were partially settled in cash. The cash settlement amount was equal up to 60% of the net after-tax value on the vesting date of each such award. Additionally, it is expected that some non-employee directors will elect to net-settle a portion of their vested PSUs and RSUs for the payment of income taxes. The portion of each employee’s applicable awards that is expected to be settled in cash and all non-employee director awards are presented as “Stock-based compensation liabilities” on the Consolidated Balance Sheets and had a carrying value of $2 million and $501 million as of September 30, 2026 and December 31, 2025, respectively, measured based on the closing share price of TEC common stock on such dates.</w:t>
      </w:r>
    </w:p>
    <w:p>
      <w:pPr>
        <w:spacing w:after="0" w:line="136"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color w:val="auto"/>
        </w:rPr>
        <w:t>Liability-classified awards that vested and settled during the nine months ended September 30, 2026 resulted in cash payments of $500 million, including payments related to income tax. Equity-classified awards that vested concurrently with the liability-classified awards resulted in the net settlement of 662,904 shares of TEC common stock and $141 million of cash payments related to income taxes.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presented as “General and administrative” on the Consolidated Statement of Operations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3"/>
        </w:trPr>
        <w:tc>
          <w:tcPr>
            <w:tcW w:w="4980" w:type="dxa"/>
            <w:vAlign w:val="bottom"/>
            <w:gridSpan w:val="2"/>
            <w:shd w:val="clear" w:color="auto" w:fill="E1E1E2"/>
          </w:tcPr>
          <w:p>
            <w:pPr>
              <w:ind w:left="20"/>
              <w:spacing w:after="0" w:line="143" w:lineRule="exact"/>
              <w:rPr>
                <w:sz w:val="20"/>
                <w:szCs w:val="20"/>
                <w:color w:val="auto"/>
              </w:rPr>
            </w:pPr>
            <w:r>
              <w:rPr>
                <w:rFonts w:ascii="Arial" w:cs="Arial" w:eastAsia="Arial" w:hAnsi="Arial"/>
                <w:sz w:val="14"/>
                <w:szCs w:val="14"/>
                <w:color w:val="auto"/>
              </w:rPr>
              <w:t>Stock-based compensation expense (benefit), net, equity and liability-</w:t>
            </w:r>
          </w:p>
        </w:tc>
        <w:tc>
          <w:tcPr>
            <w:tcW w:w="1040" w:type="dxa"/>
            <w:vAlign w:val="bottom"/>
            <w:vMerge w:val="restart"/>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E1E1E2"/>
          </w:tcPr>
          <w:p>
            <w:pPr>
              <w:jc w:val="center"/>
              <w:ind w:left="8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E1E1E2"/>
          </w:tcPr>
          <w:p>
            <w:pPr>
              <w:spacing w:after="0"/>
              <w:rPr>
                <w:sz w:val="12"/>
                <w:szCs w:val="12"/>
                <w:color w:val="auto"/>
              </w:rPr>
            </w:pPr>
          </w:p>
        </w:tc>
        <w:tc>
          <w:tcPr>
            <w:tcW w:w="1220" w:type="dxa"/>
            <w:vAlign w:val="bottom"/>
            <w:vMerge w:val="restart"/>
            <w:shd w:val="clear" w:color="auto" w:fill="E1E1E2"/>
          </w:tcPr>
          <w:p>
            <w:pPr>
              <w:jc w:val="right"/>
              <w:ind w:right="104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E1E1E2"/>
          </w:tcPr>
          <w:p>
            <w:pPr>
              <w:spacing w:after="0"/>
              <w:rPr>
                <w:sz w:val="12"/>
                <w:szCs w:val="12"/>
                <w:color w:val="auto"/>
              </w:rPr>
            </w:pPr>
          </w:p>
        </w:tc>
        <w:tc>
          <w:tcPr>
            <w:tcW w:w="24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E1E1E2"/>
          </w:tcPr>
          <w:p>
            <w:pPr>
              <w:spacing w:after="0"/>
              <w:rPr>
                <w:sz w:val="12"/>
                <w:szCs w:val="12"/>
                <w:color w:val="auto"/>
              </w:rPr>
            </w:pPr>
          </w:p>
        </w:tc>
        <w:tc>
          <w:tcPr>
            <w:tcW w:w="340" w:type="dxa"/>
            <w:vAlign w:val="bottom"/>
            <w:vMerge w:val="restart"/>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E1E1E2"/>
          </w:tcPr>
          <w:p>
            <w:pPr>
              <w:jc w:val="center"/>
              <w:ind w:left="80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classified awards</w:t>
            </w:r>
          </w:p>
        </w:tc>
        <w:tc>
          <w:tcPr>
            <w:tcW w:w="1040" w:type="dxa"/>
            <w:vAlign w:val="bottom"/>
            <w:vMerge w:val="continue"/>
            <w:shd w:val="clear" w:color="auto" w:fill="E1E1E2"/>
          </w:tcPr>
          <w:p>
            <w:pPr>
              <w:spacing w:after="0"/>
              <w:rPr>
                <w:sz w:val="16"/>
                <w:szCs w:val="16"/>
                <w:color w:val="auto"/>
              </w:rPr>
            </w:pPr>
          </w:p>
        </w:tc>
        <w:tc>
          <w:tcPr>
            <w:tcW w:w="4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28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240" w:type="dxa"/>
            <w:vAlign w:val="bottom"/>
            <w:vMerge w:val="continue"/>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vMerge w:val="continue"/>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After-tax stock-based compensation expense (benefit), net</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center"/>
              <w:ind w:left="88"/>
              <w:spacing w:after="0"/>
              <w:rPr>
                <w:sz w:val="20"/>
                <w:szCs w:val="20"/>
                <w:color w:val="auto"/>
              </w:rPr>
            </w:pPr>
            <w:r>
              <w:rPr>
                <w:rFonts w:ascii="Arial" w:cs="Arial" w:eastAsia="Arial" w:hAnsi="Arial"/>
                <w:sz w:val="14"/>
                <w:szCs w:val="14"/>
                <w:b w:val="1"/>
                <w:bCs w:val="1"/>
                <w:color w:val="auto"/>
              </w:rPr>
              <w:t>38</w:t>
            </w:r>
          </w:p>
        </w:tc>
        <w:tc>
          <w:tcPr>
            <w:tcW w:w="100" w:type="dxa"/>
            <w:vAlign w:val="bottom"/>
            <w:shd w:val="clear" w:color="auto" w:fill="E1E1E2"/>
          </w:tcPr>
          <w:p>
            <w:pPr>
              <w:spacing w:after="0"/>
              <w:rPr>
                <w:sz w:val="19"/>
                <w:szCs w:val="19"/>
                <w:color w:val="auto"/>
              </w:rPr>
            </w:pPr>
          </w:p>
        </w:tc>
        <w:tc>
          <w:tcPr>
            <w:tcW w:w="1220" w:type="dxa"/>
            <w:vAlign w:val="bottom"/>
            <w:shd w:val="clear" w:color="auto" w:fill="E1E1E2"/>
          </w:tcPr>
          <w:p>
            <w:pPr>
              <w:jc w:val="right"/>
              <w:ind w:right="104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center"/>
              <w:ind w:left="80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Unrecognized stock-based compensation expense and related periods of recognition as of September 30, 2026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RSUs</w:t>
            </w:r>
          </w:p>
        </w:tc>
        <w:tc>
          <w:tcPr>
            <w:tcW w:w="1300" w:type="dxa"/>
            <w:vAlign w:val="bottom"/>
            <w:tcBorders>
              <w:bottom w:val="single" w:sz="8" w:color="auto"/>
            </w:tcBorders>
          </w:tcPr>
          <w:p>
            <w:pPr>
              <w:spacing w:after="0"/>
              <w:rPr>
                <w:sz w:val="17"/>
                <w:szCs w:val="17"/>
                <w:color w:val="auto"/>
              </w:rPr>
            </w:pPr>
          </w:p>
        </w:tc>
      </w:tr>
      <w:tr>
        <w:trPr>
          <w:trHeight w:val="196"/>
        </w:trPr>
        <w:tc>
          <w:tcPr>
            <w:tcW w:w="50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Equity-Classified</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Liability-Classified</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Equity-Classified</w:t>
            </w:r>
          </w:p>
        </w:tc>
      </w:tr>
      <w:tr>
        <w:trPr>
          <w:trHeight w:val="197"/>
        </w:trPr>
        <w:tc>
          <w:tcPr>
            <w:tcW w:w="51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Unrecognized stock-based compensation expense </w:t>
            </w:r>
            <w:r>
              <w:rPr>
                <w:rFonts w:ascii="Arial" w:cs="Arial" w:eastAsia="Arial" w:hAnsi="Arial"/>
                <w:sz w:val="9"/>
                <w:szCs w:val="9"/>
                <w:color w:val="auto"/>
              </w:rPr>
              <w:t>(a)</w:t>
            </w:r>
          </w:p>
        </w:tc>
        <w:tc>
          <w:tcPr>
            <w:tcW w:w="1600" w:type="dxa"/>
            <w:vAlign w:val="bottom"/>
            <w:gridSpan w:val="3"/>
            <w:shd w:val="clear" w:color="auto" w:fill="E1E1E2"/>
          </w:tcPr>
          <w:p>
            <w:pPr>
              <w:ind w:left="1140"/>
              <w:spacing w:after="0"/>
              <w:rPr>
                <w:sz w:val="20"/>
                <w:szCs w:val="20"/>
                <w:color w:val="auto"/>
              </w:rPr>
            </w:pPr>
            <w:r>
              <w:rPr>
                <w:rFonts w:ascii="Arial" w:cs="Arial" w:eastAsia="Arial" w:hAnsi="Arial"/>
                <w:sz w:val="14"/>
                <w:szCs w:val="14"/>
                <w:color w:val="auto"/>
              </w:rPr>
              <w:t>N/A  $</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3"/>
            <w:shd w:val="clear" w:color="auto" w:fill="E1E1E2"/>
          </w:tcPr>
          <w:p>
            <w:pPr>
              <w:ind w:left="1280"/>
              <w:spacing w:after="0"/>
              <w:rPr>
                <w:sz w:val="20"/>
                <w:szCs w:val="20"/>
                <w:color w:val="auto"/>
              </w:rPr>
            </w:pPr>
            <w:r>
              <w:rPr>
                <w:rFonts w:ascii="Arial" w:cs="Arial" w:eastAsia="Arial" w:hAnsi="Arial"/>
                <w:sz w:val="14"/>
                <w:szCs w:val="14"/>
                <w:color w:val="auto"/>
              </w:rPr>
              <w:t>—   $</w:t>
            </w:r>
          </w:p>
        </w:tc>
        <w:tc>
          <w:tcPr>
            <w:tcW w:w="1300" w:type="dxa"/>
            <w:vAlign w:val="bottom"/>
            <w:shd w:val="clear" w:color="auto" w:fill="E1E1E2"/>
          </w:tcPr>
          <w:p>
            <w:pPr>
              <w:ind w:left="1080"/>
              <w:spacing w:after="0"/>
              <w:rPr>
                <w:sz w:val="20"/>
                <w:szCs w:val="20"/>
                <w:color w:val="auto"/>
              </w:rPr>
            </w:pPr>
            <w:r>
              <w:rPr>
                <w:rFonts w:ascii="Arial" w:cs="Arial" w:eastAsia="Arial" w:hAnsi="Arial"/>
                <w:sz w:val="14"/>
                <w:szCs w:val="14"/>
                <w:color w:val="auto"/>
              </w:rPr>
              <w:t>24</w:t>
            </w:r>
          </w:p>
        </w:tc>
      </w:tr>
      <w:tr>
        <w:trPr>
          <w:trHeight w:val="198"/>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period of recognition (in years)</w:t>
            </w:r>
          </w:p>
        </w:tc>
        <w:tc>
          <w:tcPr>
            <w:tcW w:w="80" w:type="dxa"/>
            <w:vAlign w:val="bottom"/>
          </w:tcPr>
          <w:p>
            <w:pPr>
              <w:spacing w:after="0"/>
              <w:rPr>
                <w:sz w:val="17"/>
                <w:szCs w:val="17"/>
                <w:color w:val="auto"/>
              </w:rPr>
            </w:pPr>
          </w:p>
        </w:tc>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1.4</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Stock-based compensation expense related to liability-classified awards is subject to variability due to changes in their value through the settlement date.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81" w:lineRule="exact"/>
        <w:rPr>
          <w:sz w:val="20"/>
          <w:szCs w:val="20"/>
          <w:color w:val="auto"/>
        </w:rPr>
      </w:pPr>
    </w:p>
    <w:p>
      <w:pPr>
        <w:ind w:right="260" w:firstLine="324"/>
        <w:spacing w:after="0" w:line="265"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96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79"/>
        </w:trPr>
        <w:tc>
          <w:tcPr>
            <w:tcW w:w="4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r>
      <w:tr>
        <w:trPr>
          <w:trHeight w:val="203"/>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96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201"/>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Basic</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47,625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45,684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46,388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45,694</w:t>
            </w:r>
          </w:p>
        </w:tc>
      </w:tr>
      <w:tr>
        <w:trPr>
          <w:trHeight w:val="204"/>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stock units</w:t>
            </w:r>
          </w:p>
        </w:tc>
        <w:tc>
          <w:tcPr>
            <w:tcW w:w="960" w:type="dxa"/>
            <w:vAlign w:val="bottom"/>
            <w:shd w:val="clear" w:color="auto" w:fill="E1E1E2"/>
          </w:tcPr>
          <w:p>
            <w:pPr>
              <w:spacing w:after="0"/>
              <w:rPr>
                <w:sz w:val="17"/>
                <w:szCs w:val="17"/>
                <w:color w:val="auto"/>
              </w:rPr>
            </w:pPr>
          </w:p>
        </w:tc>
        <w:tc>
          <w:tcPr>
            <w:tcW w:w="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284</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268</w:t>
            </w:r>
          </w:p>
        </w:tc>
      </w:tr>
      <w:tr>
        <w:trPr>
          <w:trHeight w:val="19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Performance stock units</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2,613</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2,626</w:t>
            </w:r>
          </w:p>
        </w:tc>
      </w:tr>
      <w:tr>
        <w:trPr>
          <w:trHeight w:val="219"/>
        </w:trPr>
        <w:tc>
          <w:tcPr>
            <w:tcW w:w="48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Diluted</w:t>
            </w:r>
          </w:p>
        </w:tc>
        <w:tc>
          <w:tcPr>
            <w:tcW w:w="100" w:type="dxa"/>
            <w:vAlign w:val="bottom"/>
            <w:tcBorders>
              <w:bottom w:val="single" w:sz="8" w:color="E1E1E2"/>
            </w:tcBorders>
            <w:shd w:val="clear" w:color="auto" w:fill="E1E1E2"/>
          </w:tcPr>
          <w:p>
            <w:pPr>
              <w:spacing w:after="0"/>
              <w:rPr>
                <w:sz w:val="19"/>
                <w:szCs w:val="19"/>
                <w:color w:val="auto"/>
              </w:rPr>
            </w:pPr>
          </w:p>
        </w:tc>
        <w:tc>
          <w:tcPr>
            <w:tcW w:w="960" w:type="dxa"/>
            <w:vAlign w:val="bottom"/>
            <w:tcBorders>
              <w:bottom w:val="single" w:sz="8" w:color="auto"/>
            </w:tcBorders>
            <w:shd w:val="clear" w:color="auto" w:fill="E1E1E2"/>
          </w:tcPr>
          <w:p>
            <w:pPr>
              <w:spacing w:after="0"/>
              <w:rPr>
                <w:sz w:val="19"/>
                <w:szCs w:val="19"/>
                <w:color w:val="auto"/>
              </w:rPr>
            </w:pPr>
          </w:p>
        </w:tc>
        <w:tc>
          <w:tcPr>
            <w:tcW w:w="5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47,973</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spacing w:after="0"/>
              <w:rPr>
                <w:sz w:val="19"/>
                <w:szCs w:val="19"/>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48,582</w:t>
            </w:r>
          </w:p>
        </w:tc>
        <w:tc>
          <w:tcPr>
            <w:tcW w:w="8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spacing w:after="0"/>
              <w:rPr>
                <w:sz w:val="19"/>
                <w:szCs w:val="19"/>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46,757</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spacing w:after="0"/>
              <w:rPr>
                <w:sz w:val="19"/>
                <w:szCs w:val="19"/>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48,588</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8"/>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4.52</w:t>
            </w:r>
          </w:p>
        </w:tc>
        <w:tc>
          <w:tcPr>
            <w:tcW w:w="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3.15</w:t>
            </w:r>
          </w:p>
        </w:tc>
      </w:tr>
      <w:tr>
        <w:trPr>
          <w:trHeight w:val="203"/>
        </w:trPr>
        <w:tc>
          <w:tcPr>
            <w:tcW w:w="48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5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2.88</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4.25</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2.96</w:t>
            </w:r>
          </w:p>
        </w:tc>
      </w:tr>
    </w:tbl>
    <w:p>
      <w:pPr>
        <w:spacing w:after="0" w:line="24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Dilutive EPS excluded 1,247 PSUs for the nine months ended September 30, 2026 because of their anti-dilutive nature. There were no adjustments for anti-dilutive securities for the other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Stockholders’ Equity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of activity under the SRP: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Nine Months Ended September 30, 2026</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Nine Months Ended September 30, 2025</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2"/>
                <w:szCs w:val="12"/>
                <w:color w:val="auto"/>
              </w:rPr>
            </w:pPr>
          </w:p>
        </w:tc>
        <w:tc>
          <w:tcPr>
            <w:tcW w:w="16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Total Repurchase Cost</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80" w:type="dxa"/>
            <w:vAlign w:val="bottom"/>
            <w:vMerge w:val="restart"/>
          </w:tcPr>
          <w:p>
            <w:pPr>
              <w:spacing w:after="0"/>
              <w:rPr>
                <w:sz w:val="12"/>
                <w:szCs w:val="12"/>
                <w:color w:val="auto"/>
              </w:rPr>
            </w:pPr>
          </w:p>
        </w:tc>
        <w:tc>
          <w:tcPr>
            <w:tcW w:w="16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Total Repurchase Cost</w:t>
            </w:r>
          </w:p>
        </w:tc>
        <w:tc>
          <w:tcPr>
            <w:tcW w:w="0" w:type="dxa"/>
            <w:vAlign w:val="bottom"/>
          </w:tcPr>
          <w:p>
            <w:pPr>
              <w:spacing w:after="0"/>
              <w:rPr>
                <w:sz w:val="1"/>
                <w:szCs w:val="1"/>
                <w:color w:val="auto"/>
              </w:rPr>
            </w:pPr>
          </w:p>
        </w:tc>
      </w:tr>
      <w:tr>
        <w:trPr>
          <w:trHeight w:val="148"/>
        </w:trPr>
        <w:tc>
          <w:tcPr>
            <w:tcW w:w="2340" w:type="dxa"/>
            <w:vAlign w:val="bottom"/>
            <w:tcBorders>
              <w:bottom w:val="single" w:sz="8" w:color="auto"/>
            </w:tcBorders>
          </w:tcPr>
          <w:p>
            <w:pPr>
              <w:spacing w:after="0"/>
              <w:rPr>
                <w:sz w:val="12"/>
                <w:szCs w:val="12"/>
                <w:color w:val="auto"/>
              </w:rPr>
            </w:pPr>
          </w:p>
        </w:tc>
        <w:tc>
          <w:tcPr>
            <w:tcW w:w="100" w:type="dxa"/>
            <w:vAlign w:val="bottom"/>
            <w:tcBorders>
              <w:bottom w:val="single" w:sz="8" w:color="E1E1E2"/>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9"/>
                <w:szCs w:val="9"/>
                <w:b w:val="1"/>
                <w:bCs w:val="1"/>
                <w:color w:val="auto"/>
              </w:rPr>
              <w:t>(b)</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E1E1E2"/>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1E1E2"/>
            </w:tcBorders>
            <w:vMerge w:val="continue"/>
          </w:tcPr>
          <w:p>
            <w:pPr>
              <w:spacing w:after="0"/>
              <w:rPr>
                <w:sz w:val="12"/>
                <w:szCs w:val="12"/>
                <w:color w:val="auto"/>
              </w:rPr>
            </w:pPr>
          </w:p>
        </w:tc>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9"/>
                <w:szCs w:val="9"/>
                <w:b w:val="1"/>
                <w:bCs w:val="1"/>
                <w:color w:val="auto"/>
              </w:rPr>
              <w:t>(b)</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1,450,000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345.77</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501</w:t>
            </w:r>
          </w:p>
        </w:tc>
        <w:tc>
          <w:tcPr>
            <w:tcW w:w="8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186.24</w:t>
            </w:r>
          </w:p>
        </w:tc>
        <w:tc>
          <w:tcPr>
            <w:tcW w:w="80" w:type="dxa"/>
            <w:vAlign w:val="bottom"/>
            <w:shd w:val="clear" w:color="auto" w:fill="E1E1E2"/>
          </w:tcPr>
          <w:p>
            <w:pPr>
              <w:spacing w:after="0"/>
              <w:rPr>
                <w:sz w:val="17"/>
                <w:szCs w:val="17"/>
                <w:color w:val="auto"/>
              </w:rPr>
            </w:pPr>
          </w:p>
        </w:tc>
        <w:tc>
          <w:tcPr>
            <w:tcW w:w="108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9"/>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retirements</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(1,450,000)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345.77</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186.24</w:t>
            </w: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Weighted average price per share, including transaction costs and excise taxes, if applicable.</w:t>
      </w:r>
    </w:p>
    <w:p>
      <w:pPr>
        <w:ind w:left="320" w:hanging="312"/>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Dollars in millions.</w:t>
      </w:r>
    </w:p>
    <w:p>
      <w:pPr>
        <w:spacing w:after="0" w:line="153"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6"/>
          <w:szCs w:val="16"/>
          <w:color w:val="auto"/>
        </w:rPr>
        <w:t>In September 2026, the Board of Directors approved the upsizing of its existing SRP to increase remaining capacity to $3.0 billion. As of September 30, 2026, the remaining capacity under the SRP was $3.0 billion and all repurchased shares have been retired. See Note 1 to the Annual Financial Statements for the accounting policy related to treasury stock and retirement of treasury stock.</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Accelerated Share Repurchases</w:t>
      </w:r>
    </w:p>
    <w:p>
      <w:pPr>
        <w:spacing w:after="0" w:line="179" w:lineRule="exact"/>
        <w:rPr>
          <w:sz w:val="20"/>
          <w:szCs w:val="20"/>
          <w:color w:val="auto"/>
        </w:rPr>
      </w:pPr>
    </w:p>
    <w:p>
      <w:pPr>
        <w:ind w:right="660" w:firstLine="324"/>
        <w:spacing w:after="0" w:line="286" w:lineRule="auto"/>
        <w:rPr>
          <w:sz w:val="20"/>
          <w:szCs w:val="20"/>
          <w:color w:val="auto"/>
        </w:rPr>
      </w:pPr>
      <w:r>
        <w:rPr>
          <w:rFonts w:ascii="Arial" w:cs="Arial" w:eastAsia="Arial" w:hAnsi="Arial"/>
          <w:sz w:val="16"/>
          <w:szCs w:val="16"/>
          <w:color w:val="auto"/>
        </w:rPr>
        <w:t>On October 1, 2026, the Company received and retired 3,811,460 shares of TEC common stock repurchased under the ASR program, which is equivalent to 80% of the aggregate $1.5 billion value of the ASR program, based on a share price of $314.84.</w:t>
      </w:r>
    </w:p>
    <w:p>
      <w:pPr>
        <w:spacing w:after="0" w:line="115"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The final number of shares repurchased will be based on the arithmetic average of the daily volume-weighted average prices of TEC’s common stock during the term of the ASR program less an agreed discount and subject to customary adjustments related to the terms and conditions of the ASR program. The final settlement of the ASR program is expected to be completed no later than the first quarter of 2027.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AOCI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7"/>
                <w:szCs w:val="17"/>
                <w:color w:val="auto"/>
              </w:rPr>
            </w:pPr>
          </w:p>
        </w:tc>
      </w:tr>
      <w:tr>
        <w:trPr>
          <w:trHeight w:val="196"/>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102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Gains (losses) arising during the period</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r>
      <w:tr>
        <w:trPr>
          <w:trHeight w:val="19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7"/>
                <w:szCs w:val="17"/>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1"/>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AOCI, net of tax, as of September 30,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2"/>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0" w:firstLine="324"/>
        <w:spacing w:after="0" w:line="304" w:lineRule="auto"/>
        <w:rPr>
          <w:sz w:val="20"/>
          <w:szCs w:val="20"/>
          <w:color w:val="auto"/>
        </w:rPr>
      </w:pPr>
      <w:r>
        <w:rPr>
          <w:rFonts w:ascii="Arial" w:cs="Arial" w:eastAsia="Arial" w:hAnsi="Arial"/>
          <w:sz w:val="16"/>
          <w:szCs w:val="16"/>
          <w:color w:val="auto"/>
        </w:rPr>
        <w:t>Reclassification adjustments from AOCI to the Consolidated Statements of Operations were non-material amounts for the nine months ended September 30, 2026 and 2025.</w:t>
      </w:r>
    </w:p>
    <w:p>
      <w:pPr>
        <w:spacing w:after="0" w:line="8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Supplemental Cash Flow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6"/>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(received) during the period</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203"/>
        </w:trPr>
        <w:tc>
          <w:tcPr>
            <w:tcW w:w="81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18"/>
                <w:szCs w:val="18"/>
                <w:color w:val="auto"/>
                <w:vertAlign w:val="superscript"/>
              </w:rPr>
              <w:t>(a)</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taxes, net</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r>
      <w:tr>
        <w:trPr>
          <w:trHeight w:val="364"/>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 Statements of Cash Flows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555</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535</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100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w:t>
            </w:r>
          </w:p>
        </w:tc>
      </w:tr>
      <w:tr>
        <w:trPr>
          <w:trHeight w:val="344"/>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 Cash Flows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4"/>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352</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205</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Amortization of acquired contract liabilities</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4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285</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208</w:t>
            </w:r>
          </w:p>
        </w:tc>
      </w:tr>
      <w:tr>
        <w:trPr>
          <w:trHeight w:val="143"/>
        </w:trPr>
        <w:tc>
          <w:tcPr>
            <w:tcW w:w="8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4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143"/>
        </w:trPr>
        <w:tc>
          <w:tcPr>
            <w:tcW w:w="8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PP&amp;E additions not paid at period end</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Capitalized interest was non-material for the nine months ended September 30, 2026 and 2025.</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8"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100" w:firstLine="324"/>
        <w:spacing w:after="0" w:line="304" w:lineRule="auto"/>
        <w:rPr>
          <w:sz w:val="20"/>
          <w:szCs w:val="20"/>
          <w:color w:val="auto"/>
        </w:rPr>
      </w:pPr>
      <w:r>
        <w:rPr>
          <w:rFonts w:ascii="Arial" w:cs="Arial" w:eastAsia="Arial" w:hAnsi="Arial"/>
          <w:sz w:val="16"/>
          <w:szCs w:val="16"/>
          <w:color w:val="auto"/>
        </w:rPr>
        <w:t>The following table provides a reconciliation of “Cash and cash equivalents” and “Restricted cash and cash equivalents” presented on the Consolidated Balance Sheets to such amounts shown on the Consolidated Statements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689</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Restricted cash and cash equivalents </w:t>
            </w:r>
            <w:r>
              <w:rPr>
                <w:rFonts w:ascii="Arial" w:cs="Arial" w:eastAsia="Arial" w:hAnsi="Arial"/>
                <w:sz w:val="18"/>
                <w:szCs w:val="18"/>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215"/>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752</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Comprised of commodity exchange margin deposits.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Acquisitions and Divestitures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2026 Acquisitions</w:t>
      </w:r>
    </w:p>
    <w:p>
      <w:pPr>
        <w:spacing w:after="0" w:line="165"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i w:val="1"/>
          <w:iCs w:val="1"/>
          <w:color w:val="auto"/>
        </w:rPr>
        <w:t xml:space="preserve">Cornerstone Acquisition. </w:t>
      </w:r>
      <w:r>
        <w:rPr>
          <w:rFonts w:ascii="Arial" w:cs="Arial" w:eastAsia="Arial" w:hAnsi="Arial"/>
          <w:sz w:val="16"/>
          <w:szCs w:val="16"/>
          <w:color w:val="auto"/>
        </w:rPr>
        <w:t>On June 15, 2026, the Company completed the Cornerstone Acquisition, which increases the Company’s generation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2.6 GW and provides efficient baseload and peaker generation and cash flow diversification. The aggregate purchase price was $3.5 billion,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20" w:type="dxa"/>
            <w:vAlign w:val="bottom"/>
            <w:tcBorders>
              <w:top w:val="single" w:sz="8" w:color="auto"/>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Cash consideration</w:t>
            </w:r>
          </w:p>
        </w:tc>
        <w:tc>
          <w:tcPr>
            <w:tcW w:w="100" w:type="dxa"/>
            <w:vAlign w:val="bottom"/>
            <w:tcBorders>
              <w:top w:val="single" w:sz="8" w:color="E1E1E2"/>
            </w:tcBorders>
            <w:shd w:val="clear" w:color="auto" w:fill="E1E1E2"/>
          </w:tcPr>
          <w:p>
            <w:pPr>
              <w:spacing w:after="0"/>
              <w:rPr>
                <w:sz w:val="18"/>
                <w:szCs w:val="18"/>
                <w:color w:val="auto"/>
              </w:rPr>
            </w:pPr>
          </w:p>
        </w:tc>
        <w:tc>
          <w:tcPr>
            <w:tcW w:w="500" w:type="dxa"/>
            <w:vAlign w:val="bottom"/>
            <w:tcBorders>
              <w:top w:val="single" w:sz="8" w:color="auto"/>
              <w:bottom w:val="single" w:sz="8" w:color="auto"/>
            </w:tcBorders>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2,617</w:t>
            </w:r>
          </w:p>
        </w:tc>
      </w:tr>
      <w:tr>
        <w:trPr>
          <w:trHeight w:val="196"/>
        </w:trPr>
        <w:tc>
          <w:tcPr>
            <w:tcW w:w="9620" w:type="dxa"/>
            <w:vAlign w:val="bottom"/>
            <w:gridSpan w:val="2"/>
          </w:tcPr>
          <w:p>
            <w:pPr>
              <w:ind w:left="20"/>
              <w:spacing w:after="0"/>
              <w:rPr>
                <w:sz w:val="20"/>
                <w:szCs w:val="20"/>
                <w:color w:val="auto"/>
              </w:rPr>
            </w:pPr>
            <w:r>
              <w:rPr>
                <w:rFonts w:ascii="Arial" w:cs="Arial" w:eastAsia="Arial" w:hAnsi="Arial"/>
                <w:sz w:val="14"/>
                <w:szCs w:val="14"/>
                <w:color w:val="auto"/>
              </w:rPr>
              <w:t>Shares of TEC common stock issued ($0.001 par value)</w:t>
            </w: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2,399,998</w:t>
            </w:r>
          </w:p>
        </w:tc>
      </w:tr>
      <w:tr>
        <w:trPr>
          <w:trHeight w:val="203"/>
        </w:trPr>
        <w:tc>
          <w:tcPr>
            <w:tcW w:w="95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Closing price per share of TEC common stock on June 15, 2026</w:t>
            </w:r>
          </w:p>
        </w:tc>
        <w:tc>
          <w:tcPr>
            <w:tcW w:w="100" w:type="dxa"/>
            <w:vAlign w:val="bottom"/>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386.21</w:t>
            </w:r>
          </w:p>
        </w:tc>
      </w:tr>
      <w:tr>
        <w:trPr>
          <w:trHeight w:val="196"/>
        </w:trPr>
        <w:tc>
          <w:tcPr>
            <w:tcW w:w="9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consideration</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r>
      <w:tr>
        <w:trPr>
          <w:trHeight w:val="219"/>
        </w:trPr>
        <w:tc>
          <w:tcPr>
            <w:tcW w:w="96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consideration</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3,544</w:t>
            </w:r>
          </w:p>
        </w:tc>
      </w:tr>
      <w:tr>
        <w:trPr>
          <w:trHeight w:val="20"/>
        </w:trPr>
        <w:tc>
          <w:tcPr>
            <w:tcW w:w="9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The Cornerstone Acquisition was accounted for as a business combination. Accordingly, fair value measurements were allocated to acquired assets and assumed liabilities with no resulting goodwill or bargain purchase adjustments. Such fair value measurements are provisional, and revisions may occur up to one year from the date of the acquisition as new information is obtained. The following table summarizes the provisional purchase price allocation for the identifiable assets acquired and liabilities assumed: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00" w:type="dxa"/>
            <w:vAlign w:val="bottom"/>
            <w:tcBorders>
              <w:bottom w:val="single" w:sz="8" w:color="auto"/>
            </w:tcBorders>
          </w:tcPr>
          <w:p>
            <w:pPr>
              <w:spacing w:after="0"/>
              <w:rPr>
                <w:sz w:val="17"/>
                <w:szCs w:val="17"/>
                <w:color w:val="auto"/>
              </w:rPr>
            </w:pPr>
          </w:p>
        </w:tc>
        <w:tc>
          <w:tcPr>
            <w:tcW w:w="34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June 15, 2026</w:t>
            </w:r>
          </w:p>
        </w:tc>
      </w:tr>
      <w:tr>
        <w:trPr>
          <w:trHeight w:val="224"/>
        </w:trPr>
        <w:tc>
          <w:tcPr>
            <w:tcW w:w="96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w:t>
            </w:r>
          </w:p>
        </w:tc>
      </w:tr>
      <w:tr>
        <w:trPr>
          <w:trHeight w:val="225"/>
        </w:trPr>
        <w:tc>
          <w:tcPr>
            <w:tcW w:w="964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33"/>
        </w:trPr>
        <w:tc>
          <w:tcPr>
            <w:tcW w:w="96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w:t>
            </w:r>
          </w:p>
        </w:tc>
        <w:tc>
          <w:tcPr>
            <w:tcW w:w="220" w:type="dxa"/>
            <w:vAlign w:val="bottom"/>
            <w:shd w:val="clear" w:color="auto" w:fill="E1E1E2"/>
          </w:tcPr>
          <w:p>
            <w:pPr>
              <w:spacing w:after="0"/>
              <w:rPr>
                <w:sz w:val="20"/>
                <w:szCs w:val="20"/>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r>
      <w:tr>
        <w:trPr>
          <w:trHeight w:val="225"/>
        </w:trPr>
        <w:tc>
          <w:tcPr>
            <w:tcW w:w="964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0"/>
        </w:trPr>
        <w:tc>
          <w:tcPr>
            <w:tcW w:w="9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Property, plant and equipment</w:t>
            </w:r>
          </w:p>
        </w:tc>
        <w:tc>
          <w:tcPr>
            <w:tcW w:w="340" w:type="dxa"/>
            <w:vAlign w:val="bottom"/>
            <w:shd w:val="clear" w:color="auto" w:fill="E1E1E2"/>
          </w:tcPr>
          <w:p>
            <w:pPr>
              <w:spacing w:after="0"/>
              <w:rPr>
                <w:sz w:val="19"/>
                <w:szCs w:val="19"/>
                <w:color w:val="auto"/>
              </w:rPr>
            </w:pPr>
          </w:p>
        </w:tc>
        <w:tc>
          <w:tcPr>
            <w:tcW w:w="220" w:type="dxa"/>
            <w:vAlign w:val="bottom"/>
            <w:tcBorders>
              <w:bottom w:val="single" w:sz="8" w:color="auto"/>
            </w:tcBorders>
            <w:shd w:val="clear" w:color="auto" w:fill="E1E1E2"/>
          </w:tcPr>
          <w:p>
            <w:pPr>
              <w:spacing w:after="0"/>
              <w:rPr>
                <w:sz w:val="19"/>
                <w:szCs w:val="19"/>
                <w:color w:val="auto"/>
              </w:rPr>
            </w:pP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4,214</w:t>
            </w:r>
          </w:p>
        </w:tc>
      </w:tr>
      <w:tr>
        <w:trPr>
          <w:trHeight w:val="199"/>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assets acquired</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4,342</w:t>
            </w:r>
          </w:p>
        </w:tc>
      </w:tr>
      <w:tr>
        <w:trPr>
          <w:trHeight w:val="21"/>
        </w:trPr>
        <w:tc>
          <w:tcPr>
            <w:tcW w:w="9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9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0"/>
        </w:trPr>
        <w:tc>
          <w:tcPr>
            <w:tcW w:w="96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r>
      <w:tr>
        <w:trPr>
          <w:trHeight w:val="225"/>
        </w:trPr>
        <w:tc>
          <w:tcPr>
            <w:tcW w:w="9640" w:type="dxa"/>
            <w:vAlign w:val="bottom"/>
            <w:gridSpan w:val="2"/>
          </w:tcPr>
          <w:p>
            <w:pPr>
              <w:ind w:left="20"/>
              <w:spacing w:after="0"/>
              <w:rPr>
                <w:sz w:val="20"/>
                <w:szCs w:val="20"/>
                <w:color w:val="auto"/>
              </w:rPr>
            </w:pPr>
            <w:r>
              <w:rPr>
                <w:rFonts w:ascii="Arial" w:cs="Arial" w:eastAsia="Arial" w:hAnsi="Arial"/>
                <w:sz w:val="14"/>
                <w:szCs w:val="14"/>
                <w:color w:val="auto"/>
              </w:rPr>
              <w:t>Derivative liabilities, current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34"/>
        </w:trPr>
        <w:tc>
          <w:tcPr>
            <w:tcW w:w="96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220" w:type="dxa"/>
            <w:vAlign w:val="bottom"/>
            <w:shd w:val="clear" w:color="auto" w:fill="E1E1E2"/>
          </w:tcPr>
          <w:p>
            <w:pPr>
              <w:spacing w:after="0"/>
              <w:rPr>
                <w:sz w:val="20"/>
                <w:szCs w:val="20"/>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225"/>
        </w:trPr>
        <w:tc>
          <w:tcPr>
            <w:tcW w:w="9640" w:type="dxa"/>
            <w:vAlign w:val="bottom"/>
            <w:gridSpan w:val="2"/>
          </w:tcPr>
          <w:p>
            <w:pPr>
              <w:ind w:left="20"/>
              <w:spacing w:after="0"/>
              <w:rPr>
                <w:sz w:val="20"/>
                <w:szCs w:val="20"/>
                <w:color w:val="auto"/>
              </w:rPr>
            </w:pPr>
            <w:r>
              <w:rPr>
                <w:rFonts w:ascii="Arial" w:cs="Arial" w:eastAsia="Arial" w:hAnsi="Arial"/>
                <w:sz w:val="14"/>
                <w:szCs w:val="14"/>
                <w:color w:val="auto"/>
              </w:rPr>
              <w:t>Acquired contract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34"/>
        </w:trPr>
        <w:tc>
          <w:tcPr>
            <w:tcW w:w="96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E1E1E2"/>
          </w:tcPr>
          <w:p>
            <w:pPr>
              <w:spacing w:after="0"/>
              <w:rPr>
                <w:sz w:val="20"/>
                <w:szCs w:val="20"/>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457</w:t>
            </w:r>
          </w:p>
        </w:tc>
      </w:tr>
      <w:tr>
        <w:trPr>
          <w:trHeight w:val="225"/>
        </w:trPr>
        <w:tc>
          <w:tcPr>
            <w:tcW w:w="9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Derivative liabilities, noncurrent</w:t>
            </w:r>
          </w:p>
        </w:tc>
        <w:tc>
          <w:tcPr>
            <w:tcW w:w="340" w:type="dxa"/>
            <w:vAlign w:val="bottom"/>
            <w:tcBorders>
              <w:bottom w:val="single" w:sz="8" w:color="E1E1E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46"/>
        </w:trPr>
        <w:tc>
          <w:tcPr>
            <w:tcW w:w="9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assumed</w:t>
            </w:r>
          </w:p>
        </w:tc>
        <w:tc>
          <w:tcPr>
            <w:tcW w:w="340" w:type="dxa"/>
            <w:vAlign w:val="bottom"/>
            <w:tcBorders>
              <w:bottom w:val="single" w:sz="8" w:color="E1E1E2"/>
            </w:tcBorders>
            <w:shd w:val="clear" w:color="auto" w:fill="E1E1E2"/>
          </w:tcPr>
          <w:p>
            <w:pPr>
              <w:spacing w:after="0"/>
              <w:rPr>
                <w:sz w:val="21"/>
                <w:szCs w:val="21"/>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798</w:t>
            </w:r>
          </w:p>
        </w:tc>
      </w:tr>
      <w:tr>
        <w:trPr>
          <w:trHeight w:val="20"/>
        </w:trPr>
        <w:tc>
          <w:tcPr>
            <w:tcW w:w="9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3"/>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of net assets acquired</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3,544</w:t>
            </w:r>
          </w:p>
        </w:tc>
      </w:tr>
      <w:tr>
        <w:trPr>
          <w:trHeight w:val="22"/>
        </w:trPr>
        <w:tc>
          <w:tcPr>
            <w:tcW w:w="9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During the three months ended September 30, 2026, the consideration and provisional purchase price allocation were revised for nonmaterial working capital adjustments.</w:t>
      </w:r>
    </w:p>
    <w:p>
      <w:pPr>
        <w:spacing w:after="0" w:line="115" w:lineRule="exact"/>
        <w:rPr>
          <w:sz w:val="20"/>
          <w:szCs w:val="20"/>
          <w:color w:val="auto"/>
        </w:rPr>
      </w:pPr>
    </w:p>
    <w:p>
      <w:pPr>
        <w:ind w:right="400" w:firstLine="324"/>
        <w:spacing w:after="0" w:line="275" w:lineRule="auto"/>
        <w:rPr>
          <w:sz w:val="20"/>
          <w:szCs w:val="20"/>
          <w:color w:val="auto"/>
        </w:rPr>
      </w:pPr>
      <w:r>
        <w:rPr>
          <w:rFonts w:ascii="Arial" w:cs="Arial" w:eastAsia="Arial" w:hAnsi="Arial"/>
          <w:sz w:val="16"/>
          <w:szCs w:val="16"/>
          <w:color w:val="auto"/>
        </w:rPr>
        <w:t>The fair values allocated to property, plant and equipment were determined using the income approach valuation technique that discounted the projected future net cash flows expected to be generated by Cornerstone over their remaining economic lives utilizing market participant discount rates. Significant assumptions included the forecasted prices for capacity, wholesale power, and natural gas, volumetric assumptions, and discount rates.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i w:val="1"/>
          <w:iCs w:val="1"/>
          <w:color w:val="auto"/>
        </w:rPr>
        <w:t xml:space="preserve">Impact of Cornerstone Acquisition. </w:t>
      </w:r>
      <w:r>
        <w:rPr>
          <w:rFonts w:ascii="Arial" w:cs="Arial" w:eastAsia="Arial" w:hAnsi="Arial"/>
          <w:sz w:val="16"/>
          <w:szCs w:val="16"/>
          <w:color w:val="auto"/>
        </w:rPr>
        <w:t>The following table presents revenues and earnings included in the Consolidated Statements of Operations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acquired in the Cornerstone Acquisition since the acquisition date (June 15, 2026) through September 30,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5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September 30, 2026</w:t>
            </w:r>
          </w:p>
        </w:tc>
        <w:tc>
          <w:tcPr>
            <w:tcW w:w="80" w:type="dxa"/>
            <w:vAlign w:val="bottom"/>
            <w:tcBorders>
              <w:bottom w:val="single" w:sz="8" w:color="E1E1E2"/>
            </w:tcBorders>
          </w:tcPr>
          <w:p>
            <w:pPr>
              <w:spacing w:after="0"/>
              <w:rPr>
                <w:sz w:val="16"/>
                <w:szCs w:val="16"/>
                <w:color w:val="auto"/>
              </w:rPr>
            </w:pPr>
          </w:p>
        </w:tc>
        <w:tc>
          <w:tcPr>
            <w:tcW w:w="1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 2026</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828</w:t>
            </w:r>
          </w:p>
        </w:tc>
        <w:tc>
          <w:tcPr>
            <w:tcW w:w="8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835</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r>
    </w:tbl>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i w:val="1"/>
          <w:iCs w:val="1"/>
          <w:color w:val="auto"/>
        </w:rPr>
        <w:t xml:space="preserve">Pro Forma Financial Information. </w:t>
      </w:r>
      <w:r>
        <w:rPr>
          <w:rFonts w:ascii="Arial" w:cs="Arial" w:eastAsia="Arial" w:hAnsi="Arial"/>
          <w:sz w:val="16"/>
          <w:szCs w:val="16"/>
          <w:color w:val="auto"/>
        </w:rPr>
        <w:t>The following unaudited pro forma financial information for the three and nine months ended September 30, 2026 and</w:t>
      </w:r>
      <w:r>
        <w:rPr>
          <w:rFonts w:ascii="Arial" w:cs="Arial" w:eastAsia="Arial" w:hAnsi="Arial"/>
          <w:sz w:val="16"/>
          <w:szCs w:val="16"/>
          <w:i w:val="1"/>
          <w:iCs w:val="1"/>
          <w:color w:val="auto"/>
        </w:rPr>
        <w:t xml:space="preserve"> </w:t>
      </w:r>
      <w:r>
        <w:rPr>
          <w:rFonts w:ascii="Arial" w:cs="Arial" w:eastAsia="Arial" w:hAnsi="Arial"/>
          <w:sz w:val="16"/>
          <w:szCs w:val="16"/>
          <w:color w:val="auto"/>
        </w:rPr>
        <w:t>2025 assumes the Cornerstone Acquisition occurred on January 1, 2025. The unaudited pro forma financial information is provided for informational purposes only and is not necessarily indicative of the results of operations that would have occurred had the Cornerstone Acquisition been completed on January 1, 2025, nor is the unaudited pro forma financial information indicative of future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9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201"/>
        </w:trPr>
        <w:tc>
          <w:tcPr>
            <w:tcW w:w="4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1,068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2,356</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bl>
    <w:p>
      <w:pPr>
        <w:spacing w:after="0" w:line="24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6"/>
          <w:szCs w:val="16"/>
          <w:color w:val="auto"/>
        </w:rPr>
        <w:t>The unaudited pro forma financial information presented above reflects adjustments for: (i) incremental depreciation associated with the provisional fair value allocated to acquired net assets; (ii) the elimination of historical interest expense of the acquired entities; (iii) the elimination of interest expense related to the Secured Notes redemption; (iv) interest expense associated with debt issued to finance the Cornerstone Acquisition and redeem the Secured Notes;</w:t>
      </w:r>
    </w:p>
    <w:p>
      <w:pPr>
        <w:spacing w:after="0" w:line="2" w:lineRule="exact"/>
        <w:rPr>
          <w:sz w:val="20"/>
          <w:szCs w:val="20"/>
          <w:color w:val="auto"/>
        </w:rPr>
      </w:pPr>
    </w:p>
    <w:p>
      <w:pPr>
        <w:ind w:right="40" w:firstLine="8"/>
        <w:spacing w:after="0" w:line="270" w:lineRule="auto"/>
        <w:tabs>
          <w:tab w:leader="none" w:pos="23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transaction costs associated with the Cornerstone Acquisition and expenses associated with the Secured Notes redemption; (vi) the income tax effects of the Cornerstone Acquisition and related financing transactions; and (vii) the alignment of certain accounting policies.</w:t>
      </w:r>
    </w:p>
    <w:p>
      <w:pPr>
        <w:spacing w:after="0" w:line="127"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The Company incurred $3 million and $32 million of acquisition-related transaction costs during the three and nine months ended September 30, 2026, respectively, presented as “Other operating income (expense), net” on the Consolidated Statements of Operations. Deferred financing costs were non-material and $55 million during the three and nine months ended September 30, 2026, respectively, presented as “Long-term debt” on the Consolidated Balance Sheets. See Note 10 for information on recent financing transactions related to the Cornerstone Acquisition.</w:t>
      </w:r>
    </w:p>
    <w:p>
      <w:pPr>
        <w:spacing w:after="0" w:line="119"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i w:val="1"/>
          <w:iCs w:val="1"/>
          <w:color w:val="auto"/>
        </w:rPr>
        <w:t xml:space="preserve">Amortization of Acquired Contract Liabilities. </w:t>
      </w:r>
      <w:r>
        <w:rPr>
          <w:rFonts w:ascii="Arial" w:cs="Arial" w:eastAsia="Arial" w:hAnsi="Arial"/>
          <w:sz w:val="16"/>
          <w:szCs w:val="16"/>
          <w:color w:val="auto"/>
        </w:rPr>
        <w:t>The acquisition fair value of a capacity contract presented as “Acquired contract liabilities”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Sheets is subject to periodic amortization. Amortization associated with this contract will begin at the start of the contract term in 2028 and will be presented as an increase to “Capacity revenues.”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0" w:type="dxa"/>
            <w:vAlign w:val="bottom"/>
            <w:tcBorders>
              <w:bottom w:val="single" w:sz="8" w:color="auto"/>
            </w:tcBorders>
          </w:tcPr>
          <w:p>
            <w:pPr>
              <w:spacing w:after="0"/>
              <w:rPr>
                <w:sz w:val="18"/>
                <w:szCs w:val="18"/>
                <w:color w:val="auto"/>
              </w:rPr>
            </w:pPr>
          </w:p>
        </w:tc>
        <w:tc>
          <w:tcPr>
            <w:tcW w:w="80" w:type="dxa"/>
            <w:vAlign w:val="bottom"/>
            <w:tcBorders>
              <w:bottom w:val="single" w:sz="8" w:color="E1E1E2"/>
            </w:tcBorders>
          </w:tcPr>
          <w:p>
            <w:pPr>
              <w:spacing w:after="0"/>
              <w:rPr>
                <w:sz w:val="18"/>
                <w:szCs w:val="18"/>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2028</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2029</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2030</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E1E1E2"/>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2031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E1E1E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2032</w:t>
            </w:r>
          </w:p>
        </w:tc>
        <w:tc>
          <w:tcPr>
            <w:tcW w:w="100" w:type="dxa"/>
            <w:vAlign w:val="bottom"/>
            <w:tcBorders>
              <w:bottom w:val="single" w:sz="8" w:color="E1E1E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xml:space="preserve">Thereafter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3"/>
        </w:trPr>
        <w:tc>
          <w:tcPr>
            <w:tcW w:w="30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Estimated amortization of acquired contract</w:t>
            </w:r>
          </w:p>
        </w:tc>
        <w:tc>
          <w:tcPr>
            <w:tcW w:w="680" w:type="dxa"/>
            <w:vAlign w:val="bottom"/>
            <w:shd w:val="clear" w:color="auto" w:fill="E1E1E2"/>
          </w:tcPr>
          <w:p>
            <w:pPr>
              <w:spacing w:after="0"/>
              <w:rPr>
                <w:sz w:val="15"/>
                <w:szCs w:val="15"/>
                <w:color w:val="auto"/>
              </w:rPr>
            </w:pPr>
          </w:p>
        </w:tc>
        <w:tc>
          <w:tcPr>
            <w:tcW w:w="3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660" w:type="dxa"/>
            <w:vAlign w:val="bottom"/>
            <w:shd w:val="clear" w:color="auto" w:fill="E1E1E2"/>
          </w:tcPr>
          <w:p>
            <w:pPr>
              <w:spacing w:after="0"/>
              <w:rPr>
                <w:sz w:val="15"/>
                <w:szCs w:val="15"/>
                <w:color w:val="auto"/>
              </w:rPr>
            </w:pPr>
          </w:p>
        </w:tc>
        <w:tc>
          <w:tcPr>
            <w:tcW w:w="3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680" w:type="dxa"/>
            <w:vAlign w:val="bottom"/>
            <w:shd w:val="clear" w:color="auto" w:fill="E1E1E2"/>
          </w:tcPr>
          <w:p>
            <w:pPr>
              <w:spacing w:after="0"/>
              <w:rPr>
                <w:sz w:val="15"/>
                <w:szCs w:val="15"/>
                <w:color w:val="auto"/>
              </w:rPr>
            </w:pPr>
          </w:p>
        </w:tc>
        <w:tc>
          <w:tcPr>
            <w:tcW w:w="380" w:type="dxa"/>
            <w:vAlign w:val="bottom"/>
            <w:shd w:val="clear" w:color="auto" w:fill="E1E1E2"/>
          </w:tcPr>
          <w:p>
            <w:pPr>
              <w:spacing w:after="0"/>
              <w:rPr>
                <w:sz w:val="15"/>
                <w:szCs w:val="15"/>
                <w:color w:val="auto"/>
              </w:rPr>
            </w:pPr>
          </w:p>
        </w:tc>
        <w:tc>
          <w:tcPr>
            <w:tcW w:w="80" w:type="dxa"/>
            <w:vAlign w:val="bottom"/>
            <w:shd w:val="clear" w:color="auto" w:fill="E1E1E2"/>
          </w:tcPr>
          <w:p>
            <w:pPr>
              <w:spacing w:after="0"/>
              <w:rPr>
                <w:sz w:val="15"/>
                <w:szCs w:val="15"/>
                <w:color w:val="auto"/>
              </w:rPr>
            </w:pPr>
          </w:p>
        </w:tc>
        <w:tc>
          <w:tcPr>
            <w:tcW w:w="700" w:type="dxa"/>
            <w:vAlign w:val="bottom"/>
            <w:shd w:val="clear" w:color="auto" w:fill="E1E1E2"/>
          </w:tcPr>
          <w:p>
            <w:pPr>
              <w:spacing w:after="0"/>
              <w:rPr>
                <w:sz w:val="15"/>
                <w:szCs w:val="15"/>
                <w:color w:val="auto"/>
              </w:rPr>
            </w:pPr>
          </w:p>
        </w:tc>
        <w:tc>
          <w:tcPr>
            <w:tcW w:w="380" w:type="dxa"/>
            <w:vAlign w:val="bottom"/>
            <w:shd w:val="clear" w:color="auto" w:fill="E1E1E2"/>
          </w:tcPr>
          <w:p>
            <w:pPr>
              <w:spacing w:after="0"/>
              <w:rPr>
                <w:sz w:val="15"/>
                <w:szCs w:val="15"/>
                <w:color w:val="auto"/>
              </w:rPr>
            </w:pPr>
          </w:p>
        </w:tc>
        <w:tc>
          <w:tcPr>
            <w:tcW w:w="80" w:type="dxa"/>
            <w:vAlign w:val="bottom"/>
            <w:shd w:val="clear" w:color="auto" w:fill="E1E1E2"/>
          </w:tcPr>
          <w:p>
            <w:pPr>
              <w:spacing w:after="0"/>
              <w:rPr>
                <w:sz w:val="15"/>
                <w:szCs w:val="15"/>
                <w:color w:val="auto"/>
              </w:rPr>
            </w:pPr>
          </w:p>
        </w:tc>
        <w:tc>
          <w:tcPr>
            <w:tcW w:w="160" w:type="dxa"/>
            <w:vAlign w:val="bottom"/>
            <w:shd w:val="clear" w:color="auto" w:fill="E1E1E2"/>
          </w:tcPr>
          <w:p>
            <w:pPr>
              <w:spacing w:after="0"/>
              <w:rPr>
                <w:sz w:val="15"/>
                <w:szCs w:val="15"/>
                <w:color w:val="auto"/>
              </w:rPr>
            </w:pPr>
          </w:p>
        </w:tc>
        <w:tc>
          <w:tcPr>
            <w:tcW w:w="92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120" w:type="dxa"/>
            <w:vAlign w:val="bottom"/>
            <w:shd w:val="clear" w:color="auto" w:fill="E1E1E2"/>
          </w:tcPr>
          <w:p>
            <w:pPr>
              <w:spacing w:after="0"/>
              <w:rPr>
                <w:sz w:val="15"/>
                <w:szCs w:val="15"/>
                <w:color w:val="auto"/>
              </w:rPr>
            </w:pPr>
          </w:p>
        </w:tc>
        <w:tc>
          <w:tcPr>
            <w:tcW w:w="10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40" w:type="dxa"/>
            <w:vAlign w:val="bottom"/>
            <w:shd w:val="clear" w:color="auto" w:fill="E1E1E2"/>
          </w:tcPr>
          <w:p>
            <w:pPr>
              <w:spacing w:after="0"/>
              <w:rPr>
                <w:sz w:val="15"/>
                <w:szCs w:val="15"/>
                <w:color w:val="auto"/>
              </w:rPr>
            </w:pPr>
          </w:p>
        </w:tc>
        <w:tc>
          <w:tcPr>
            <w:tcW w:w="840" w:type="dxa"/>
            <w:vAlign w:val="bottom"/>
            <w:shd w:val="clear" w:color="auto" w:fill="E1E1E2"/>
          </w:tcPr>
          <w:p>
            <w:pPr>
              <w:spacing w:after="0"/>
              <w:rPr>
                <w:sz w:val="15"/>
                <w:szCs w:val="15"/>
                <w:color w:val="auto"/>
              </w:rPr>
            </w:pPr>
          </w:p>
        </w:tc>
      </w:tr>
      <w:tr>
        <w:trPr>
          <w:trHeight w:val="212"/>
        </w:trPr>
        <w:tc>
          <w:tcPr>
            <w:tcW w:w="3000" w:type="dxa"/>
            <w:vAlign w:val="bottom"/>
            <w:tcBorders>
              <w:bottom w:val="single" w:sz="8" w:color="auto"/>
            </w:tcBorders>
            <w:shd w:val="clear" w:color="auto" w:fill="E1E1E2"/>
          </w:tcPr>
          <w:p>
            <w:pPr>
              <w:ind w:left="180"/>
              <w:spacing w:after="0"/>
              <w:rPr>
                <w:sz w:val="20"/>
                <w:szCs w:val="20"/>
                <w:color w:val="auto"/>
              </w:rPr>
            </w:pPr>
            <w:r>
              <w:rPr>
                <w:rFonts w:ascii="Arial" w:cs="Arial" w:eastAsia="Arial" w:hAnsi="Arial"/>
                <w:sz w:val="14"/>
                <w:szCs w:val="14"/>
                <w:color w:val="auto"/>
              </w:rPr>
              <w:t>liabilities</w:t>
            </w:r>
          </w:p>
        </w:tc>
        <w:tc>
          <w:tcPr>
            <w:tcW w:w="80" w:type="dxa"/>
            <w:vAlign w:val="bottom"/>
            <w:shd w:val="clear" w:color="auto" w:fill="E1E1E2"/>
          </w:tcPr>
          <w:p>
            <w:pPr>
              <w:spacing w:after="0"/>
              <w:rPr>
                <w:sz w:val="18"/>
                <w:szCs w:val="18"/>
                <w:color w:val="auto"/>
              </w:rPr>
            </w:pPr>
          </w:p>
        </w:tc>
        <w:tc>
          <w:tcPr>
            <w:tcW w:w="680" w:type="dxa"/>
            <w:vAlign w:val="bottom"/>
            <w:tcBorders>
              <w:bottom w:val="single" w:sz="8" w:color="auto"/>
            </w:tcBorders>
            <w:shd w:val="clear" w:color="auto" w:fill="E1E1E2"/>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8"/>
                <w:szCs w:val="18"/>
                <w:color w:val="auto"/>
              </w:rPr>
            </w:pPr>
          </w:p>
        </w:tc>
        <w:tc>
          <w:tcPr>
            <w:tcW w:w="660" w:type="dxa"/>
            <w:vAlign w:val="bottom"/>
            <w:tcBorders>
              <w:bottom w:val="single" w:sz="8" w:color="auto"/>
            </w:tcBorders>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8"/>
                <w:szCs w:val="18"/>
                <w:color w:val="auto"/>
              </w:rPr>
            </w:pPr>
          </w:p>
        </w:tc>
        <w:tc>
          <w:tcPr>
            <w:tcW w:w="680" w:type="dxa"/>
            <w:vAlign w:val="bottom"/>
            <w:tcBorders>
              <w:bottom w:val="single" w:sz="8" w:color="auto"/>
            </w:tcBorders>
            <w:shd w:val="clear" w:color="auto" w:fill="E1E1E2"/>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8"/>
                <w:szCs w:val="18"/>
                <w:color w:val="auto"/>
              </w:rPr>
            </w:pPr>
          </w:p>
        </w:tc>
        <w:tc>
          <w:tcPr>
            <w:tcW w:w="700" w:type="dxa"/>
            <w:vAlign w:val="bottom"/>
            <w:tcBorders>
              <w:bottom w:val="single" w:sz="8" w:color="auto"/>
            </w:tcBorders>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shd w:val="clear" w:color="auto" w:fill="E1E1E2"/>
          </w:tcPr>
          <w:p>
            <w:pPr>
              <w:spacing w:after="0"/>
              <w:rPr>
                <w:sz w:val="18"/>
                <w:szCs w:val="18"/>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8"/>
                <w:szCs w:val="18"/>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1E1E2"/>
          </w:tcPr>
          <w:p>
            <w:pPr>
              <w:spacing w:after="0"/>
              <w:rPr>
                <w:sz w:val="18"/>
                <w:szCs w:val="18"/>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151</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Contractual maturities through 2034.</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2026 Divestitures</w:t>
      </w:r>
    </w:p>
    <w:p>
      <w:pPr>
        <w:spacing w:after="0" w:line="179"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i w:val="1"/>
          <w:iCs w:val="1"/>
          <w:color w:val="auto"/>
        </w:rPr>
        <w:t xml:space="preserve">Sale of Keystone Interests. </w:t>
      </w:r>
      <w:r>
        <w:rPr>
          <w:rFonts w:ascii="Arial" w:cs="Arial" w:eastAsia="Arial" w:hAnsi="Arial"/>
          <w:sz w:val="16"/>
          <w:szCs w:val="16"/>
          <w:color w:val="auto"/>
        </w:rPr>
        <w:t>In September 2026, the Company sold its 12.34% interest in the Keystone generation facility and certain related assets for</w:t>
      </w:r>
      <w:r>
        <w:rPr>
          <w:rFonts w:ascii="Arial" w:cs="Arial" w:eastAsia="Arial" w:hAnsi="Arial"/>
          <w:sz w:val="16"/>
          <w:szCs w:val="16"/>
          <w:i w:val="1"/>
          <w:iCs w:val="1"/>
          <w:color w:val="auto"/>
        </w:rPr>
        <w:t xml:space="preserve"> </w:t>
      </w:r>
      <w:r>
        <w:rPr>
          <w:rFonts w:ascii="Arial" w:cs="Arial" w:eastAsia="Arial" w:hAnsi="Arial"/>
          <w:sz w:val="16"/>
          <w:szCs w:val="16"/>
          <w:color w:val="auto"/>
        </w:rPr>
        <w:t>$73 million in cash, after taking into account closing working capital and other purchase price adjustments. The final proceeds are subject to a customary post-closing true-up. A gain on sale of $66 million is presented as “Gain (loss) on sale of assets, net” on the Consolidated Statements of Operations for the nine months ended September 30, 2026.</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Divestitures</w:t>
      </w:r>
    </w:p>
    <w:p>
      <w:pPr>
        <w:spacing w:after="0" w:line="17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i w:val="1"/>
          <w:iCs w:val="1"/>
          <w:color w:val="auto"/>
        </w:rPr>
        <w:t xml:space="preserve">Camden and Dartmouth Sales. </w:t>
      </w:r>
      <w:r>
        <w:rPr>
          <w:rFonts w:ascii="Arial" w:cs="Arial" w:eastAsia="Arial" w:hAnsi="Arial"/>
          <w:sz w:val="16"/>
          <w:szCs w:val="16"/>
          <w:color w:val="auto"/>
        </w:rPr>
        <w:t>In September 2025, the Company sold the Camden and Dartmouth generation facilities to an unaffiliated party for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as-adjusted purchase price of $25 million in cash, subject to further post-closing adjustments. A gain on sale of $22 million is presented as “Gain (loss) on sale of assets, net” on the Consolidated Statements of Operations for the nine months ended September 30, 2025.</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Segments</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Executive Officer, who is the chief operating decision maker (the “CODM”), reviews results. Adjusted EBITDA is the key profit metric used by the CODM to review segment performance and allocate resources as it provides a clearer view of segment profitability by focusing on operational performance. Total assets or other asset metrics are not considered a key metric or reviewed by the chief operating decision maker.</w:t>
      </w:r>
    </w:p>
    <w:p>
      <w:pPr>
        <w:spacing w:after="0" w:line="114" w:lineRule="exact"/>
        <w:rPr>
          <w:sz w:val="20"/>
          <w:szCs w:val="20"/>
          <w:color w:val="auto"/>
        </w:rPr>
      </w:pPr>
    </w:p>
    <w:p>
      <w:pPr>
        <w:ind w:right="480" w:firstLine="324"/>
        <w:spacing w:after="0" w:line="286" w:lineRule="auto"/>
        <w:rPr>
          <w:sz w:val="20"/>
          <w:szCs w:val="20"/>
          <w:color w:val="auto"/>
        </w:rPr>
      </w:pPr>
      <w:r>
        <w:rPr>
          <w:rFonts w:ascii="Arial" w:cs="Arial" w:eastAsia="Arial" w:hAnsi="Arial"/>
          <w:sz w:val="16"/>
          <w:szCs w:val="16"/>
          <w:color w:val="auto"/>
        </w:rPr>
        <w:t>“PJM” represents electricity generation, marketing activities, and commodity risk and fuel management within the PJM market and is comprised of Susquehanna and Talen’s natural gas and coal generation facilities in PJM.</w:t>
      </w:r>
    </w:p>
    <w:p>
      <w:pPr>
        <w:spacing w:after="0" w:line="11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“Other” represents an operating segment that includes the operating and marketing activities of Talen Montana’s proportionate share of Colstrip in the WECC market and other non-material operating and development activities.</w:t>
      </w:r>
    </w:p>
    <w:p>
      <w:pPr>
        <w:spacing w:after="0" w:line="115" w:lineRule="exact"/>
        <w:rPr>
          <w:sz w:val="20"/>
          <w:szCs w:val="20"/>
          <w:color w:val="auto"/>
        </w:rPr>
      </w:pPr>
    </w:p>
    <w:p>
      <w:pPr>
        <w:jc w:val="both"/>
        <w:ind w:right="380" w:firstLine="324"/>
        <w:spacing w:after="0" w:line="266" w:lineRule="auto"/>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PJM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Three Months Ended September 30, 2026</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160</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475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684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5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2025</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16"/>
        </w:trPr>
        <w:tc>
          <w:tcPr>
            <w:tcW w:w="538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Nine Months Ended September 30, 2026</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3,169</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3,203</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9"/>
                <w:szCs w:val="9"/>
                <w:color w:val="auto"/>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520</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9"/>
                <w:szCs w:val="9"/>
                <w:color w:val="auto"/>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1,108</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1,541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9"/>
                <w:szCs w:val="9"/>
                <w:color w:val="auto"/>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9"/>
                <w:szCs w:val="9"/>
                <w:color w:val="auto"/>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689</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This significant segment expense category aligns with the segment-level information that is regularly reviewed by the CODM.</w:t>
      </w: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Other segment items are primarily comprised of fuel and energy purchases.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Reconciliation of Segment Adjusted EBITDA to Income (Loss) Before Income Taxes: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0"/>
        </w:trPr>
        <w:tc>
          <w:tcPr>
            <w:tcW w:w="48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PJM Segment Adjusted EBITDA</w:t>
            </w:r>
          </w:p>
        </w:tc>
        <w:tc>
          <w:tcPr>
            <w:tcW w:w="100" w:type="dxa"/>
            <w:vAlign w:val="bottom"/>
            <w:tcBorders>
              <w:bottom w:val="single" w:sz="8" w:color="E1E1E2"/>
            </w:tcBorders>
            <w:shd w:val="clear" w:color="auto" w:fill="E1E1E2"/>
          </w:tcPr>
          <w:p>
            <w:pPr>
              <w:spacing w:after="0"/>
              <w:rPr>
                <w:sz w:val="16"/>
                <w:szCs w:val="16"/>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684</w:t>
            </w:r>
          </w:p>
        </w:tc>
        <w:tc>
          <w:tcPr>
            <w:tcW w:w="100" w:type="dxa"/>
            <w:vAlign w:val="bottom"/>
            <w:tcBorders>
              <w:bottom w:val="single" w:sz="8" w:color="E1E1E2"/>
            </w:tcBorders>
            <w:shd w:val="clear" w:color="auto" w:fill="E1E1E2"/>
          </w:tcPr>
          <w:p>
            <w:pPr>
              <w:spacing w:after="0"/>
              <w:rPr>
                <w:sz w:val="16"/>
                <w:szCs w:val="16"/>
                <w:color w:val="auto"/>
              </w:rPr>
            </w:pPr>
          </w:p>
        </w:tc>
        <w:tc>
          <w:tcPr>
            <w:tcW w:w="1180" w:type="dxa"/>
            <w:vAlign w:val="bottom"/>
            <w:tcBorders>
              <w:bottom w:val="single" w:sz="8" w:color="auto"/>
            </w:tcBorders>
            <w:shd w:val="clear" w:color="auto" w:fill="E1E1E2"/>
          </w:tcPr>
          <w:p>
            <w:pPr>
              <w:jc w:val="right"/>
              <w:ind w:right="100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4"/>
              </w:rPr>
              <w:t>365</w:t>
            </w:r>
          </w:p>
        </w:tc>
        <w:tc>
          <w:tcPr>
            <w:tcW w:w="80" w:type="dxa"/>
            <w:vAlign w:val="bottom"/>
            <w:tcBorders>
              <w:bottom w:val="single" w:sz="8" w:color="E1E1E2"/>
            </w:tcBorders>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1,541</w:t>
            </w:r>
          </w:p>
        </w:tc>
        <w:tc>
          <w:tcPr>
            <w:tcW w:w="100" w:type="dxa"/>
            <w:vAlign w:val="bottom"/>
            <w:tcBorders>
              <w:bottom w:val="single" w:sz="8" w:color="E1E1E2"/>
            </w:tcBorders>
            <w:shd w:val="clear" w:color="auto" w:fill="E1E1E2"/>
          </w:tcPr>
          <w:p>
            <w:pPr>
              <w:spacing w:after="0"/>
              <w:rPr>
                <w:sz w:val="16"/>
                <w:szCs w:val="16"/>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689</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Reconciling Items:</w:t>
            </w: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 xml:space="preserve">Depreciation, amortization and accretion </w:t>
            </w:r>
            <w:r>
              <w:rPr>
                <w:rFonts w:ascii="Arial" w:cs="Arial" w:eastAsia="Arial" w:hAnsi="Arial"/>
                <w:sz w:val="9"/>
                <w:szCs w:val="9"/>
                <w:color w:val="auto"/>
              </w:rPr>
              <w:t>(a)</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Nuclear fuel amortization </w:t>
            </w:r>
            <w:r>
              <w:rPr>
                <w:rFonts w:ascii="Arial" w:cs="Arial" w:eastAsia="Arial" w:hAnsi="Arial"/>
                <w:sz w:val="9"/>
                <w:szCs w:val="9"/>
                <w:color w:val="auto"/>
              </w:rPr>
              <w:t>(a)</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149</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asset sales, net (Note 17)</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Non-cash impairments and other charges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Acquisition and divestiture activities </w:t>
            </w:r>
            <w:r>
              <w:rPr>
                <w:rFonts w:ascii="Arial" w:cs="Arial" w:eastAsia="Arial" w:hAnsi="Arial"/>
                <w:sz w:val="9"/>
                <w:szCs w:val="9"/>
                <w:color w:val="auto"/>
              </w:rPr>
              <w:t>(b)</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operating segment</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Corporate and Eliminations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3"/>
        </w:trPr>
        <w:tc>
          <w:tcPr>
            <w:tcW w:w="48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items</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r>
      <w:tr>
        <w:trPr>
          <w:trHeight w:val="199"/>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304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214</w:t>
            </w:r>
          </w:p>
        </w:tc>
      </w:tr>
      <w:tr>
        <w:trPr>
          <w:trHeight w:val="22"/>
        </w:trPr>
        <w:tc>
          <w:tcPr>
            <w:tcW w:w="4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the periodic amortization of fair value adjustments associated with acquired fuel supply contract liabilities and intangible assets.</w:t>
      </w:r>
    </w:p>
    <w:p>
      <w:pPr>
        <w:ind w:left="340" w:right="160" w:hanging="332"/>
        <w:spacing w:after="0" w:line="267"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the Interim Financial Statements, the Annual Financial Statements, and the Notes thereto.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PJM Capacity Monetization</w:t>
      </w:r>
    </w:p>
    <w:p>
      <w:pPr>
        <w:spacing w:after="0" w:line="17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On October 1, 2026, TEM closed on a capacity monetization agreement to sell rights to approximately $1.5 billion in future PJM capacity cash flows for the 2027/2028 and 2028/2029 PJM Capacity Years and the Company used the net proceeds of $1.3 billion to fund accelerated share repurchases.</w:t>
      </w:r>
    </w:p>
    <w:p>
      <w:pPr>
        <w:spacing w:after="0" w:line="115" w:lineRule="exact"/>
        <w:rPr>
          <w:sz w:val="20"/>
          <w:szCs w:val="20"/>
          <w:color w:val="auto"/>
        </w:rPr>
      </w:pPr>
    </w:p>
    <w:p>
      <w:pPr>
        <w:ind w:left="340" w:right="5160"/>
        <w:spacing w:after="0" w:line="457" w:lineRule="auto"/>
        <w:rPr>
          <w:sz w:val="20"/>
          <w:szCs w:val="20"/>
          <w:color w:val="auto"/>
        </w:rPr>
      </w:pPr>
      <w:r>
        <w:rPr>
          <w:rFonts w:ascii="Arial" w:cs="Arial" w:eastAsia="Arial" w:hAnsi="Arial"/>
          <w:sz w:val="16"/>
          <w:szCs w:val="16"/>
          <w:color w:val="auto"/>
        </w:rPr>
        <w:t xml:space="preserve">See Note 3 to the Interim Financial Statements for additional information. </w:t>
      </w:r>
      <w:r>
        <w:rPr>
          <w:rFonts w:ascii="Arial" w:cs="Arial" w:eastAsia="Arial" w:hAnsi="Arial"/>
          <w:sz w:val="16"/>
          <w:szCs w:val="16"/>
          <w:b w:val="1"/>
          <w:bCs w:val="1"/>
          <w:i w:val="1"/>
          <w:iCs w:val="1"/>
          <w:color w:val="auto"/>
        </w:rPr>
        <w:t>Upsize of Share Repurchase Program and Accelerated Share Repurchases</w:t>
      </w:r>
    </w:p>
    <w:p>
      <w:pPr>
        <w:spacing w:after="0" w:line="1"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color w:val="auto"/>
        </w:rPr>
        <w:t>In September 2026, the Board of Directors approved the upsizing of the Company’s existing SRP from $1.5 billion to an aggregate remaining capacity of $3 billion, subject to utilization under the ASR program.</w:t>
      </w:r>
    </w:p>
    <w:p>
      <w:pPr>
        <w:spacing w:after="0" w:line="8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On October 1, 2026, the Company received and retired 3,811,460 shares of TEC common stock repurchased under ASR program with multiple dealers, which is equivalent to 80% of the aggregate $1.5 billion value of the ASR program. The final settlement is expected to be completed no later than the first quarter of 2027. The accelerated share repurchases are being funded by net proceeds of $1.3 billion from the capacity monetization transaction and cash on hand.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15 to the Interim Financial Statements for additional information.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Common Stock Repurchases</w:t>
      </w:r>
    </w:p>
    <w:p>
      <w:pPr>
        <w:spacing w:after="0" w:line="165"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During the three months ended September 30, 2026, the Company repurchased and retired 600,000 shares of TEC’s outstanding common stock under the SRP, separate from the ASR program. The aggregate purchase price, including transaction fees, was $204 million at a weighted average price of $339.48 per share. As of September 30, 2026, the remaining capacity under the SRP was $3.0 billion through 2028.</w:t>
      </w:r>
    </w:p>
    <w:p>
      <w:pPr>
        <w:spacing w:after="0" w:line="124"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color w:val="auto"/>
        </w:rPr>
        <w:t>See Note 15 to the Interim Financial Statements and “Part II, Item 2. Unregistered Sales of Equity Securities and Use of Proceeds” of this Report for additional information on the SRP.</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and “Part I, Item</w:t>
      </w:r>
    </w:p>
    <w:p>
      <w:pPr>
        <w:spacing w:after="0" w:line="21" w:lineRule="exact"/>
        <w:rPr>
          <w:sz w:val="20"/>
          <w:szCs w:val="20"/>
          <w:color w:val="auto"/>
        </w:rPr>
      </w:pPr>
    </w:p>
    <w:p>
      <w:pPr>
        <w:ind w:right="740"/>
        <w:spacing w:after="0" w:line="283" w:lineRule="auto"/>
        <w:rPr>
          <w:sz w:val="20"/>
          <w:szCs w:val="20"/>
          <w:color w:val="auto"/>
        </w:rPr>
      </w:pPr>
      <w:r>
        <w:rPr>
          <w:rFonts w:ascii="Arial" w:cs="Arial" w:eastAsia="Arial" w:hAnsi="Arial"/>
          <w:sz w:val="16"/>
          <w:szCs w:val="16"/>
          <w:color w:val="auto"/>
        </w:rPr>
        <w:t>1A. Risk Factors” of our 2025 Annual Report, as updated by our 2026 Quarterly Reports, and Notes 2 and 9 to the Interim Financial Statements for additional information on our risks.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third quarter 2026, PJM market conditions were influenced by weather, as periods of above-average temperatures increased electricity</w:t>
      </w:r>
    </w:p>
    <w:p>
      <w:pPr>
        <w:spacing w:after="0" w:line="31"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demand and contributed to higher settled on-peak power prices. Natural gas prices settled below the five-year average and natural gas storage inventories remained above the five-year average throughout the quarter, reflecting ample supply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settled on-peak power prices and natural gas prices for the PJM market for the three months ended September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880" w:type="dxa"/>
            <w:vAlign w:val="bottom"/>
            <w:shd w:val="clear" w:color="auto" w:fill="E1E1E2"/>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100.51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61.89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47.78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TETCO M-3 - $/MMBtu</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AEP-D Hub Day Ahead Peak - $/MWh</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55.58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TETCO M-2 - $/MMBtu</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2.17</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forward market prices for the periods October 1 through December 31 as of September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71.54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47.50</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9"/>
                <w:szCs w:val="9"/>
                <w:color w:val="auto"/>
              </w:rPr>
              <w:t>(a)</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52.76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26.00</w:t>
            </w:r>
          </w:p>
        </w:tc>
      </w:tr>
      <w:tr>
        <w:trPr>
          <w:trHeight w:val="20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AEP-D Hub ATC - $/MWh</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60.16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44.33</w:t>
            </w:r>
          </w:p>
        </w:tc>
      </w:tr>
      <w:tr>
        <w:trPr>
          <w:trHeight w:val="198"/>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PJM AEP-D Hub ATC Sparks Spreads - $/MWh </w:t>
            </w:r>
            <w:r>
              <w:rPr>
                <w:rFonts w:ascii="Arial" w:cs="Arial" w:eastAsia="Arial" w:hAnsi="Arial"/>
                <w:sz w:val="9"/>
                <w:szCs w:val="9"/>
                <w:color w:val="auto"/>
              </w:rPr>
              <w:t>(b)</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TETCO M-3 natural gas prices, and a heat rate of 7 MMBtu/MWh.</w:t>
      </w:r>
    </w:p>
    <w:p>
      <w:pPr>
        <w:ind w:left="320" w:hanging="312"/>
        <w:spacing w:after="0"/>
        <w:tabs>
          <w:tab w:leader="none" w:pos="3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TETCO M-2 natural gas prices, and a heat rate of 7 MMBtu/MWh.</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6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 Additionally, capacity prices may be affected by regulatory proceedings and (or) interventions by government stakeholders.</w:t>
      </w:r>
    </w:p>
    <w:p>
      <w:pPr>
        <w:spacing w:after="0" w:line="122"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the PJM Reliability Pricing Model, when held on schedule, the PJM BRA is required to be conducted in the month of May</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prior to the start of the applicable PJM Capacity Year in order for PJM to secure commitments from capacity resources. The results of each PJM BRA impact our capacity revenues expected to be earned for the specific PJM Capacity Year. The capacity market construct provides generation owners some opportunity for revenue visibility on a multiyear basis and is intended to provide a price signal for new generation to be built in the future. Recently, PJM has delayed its auctions, which has resulted in less than 3 years between each auction and the start of the relevant PJM Capacity Year.</w:t>
      </w:r>
    </w:p>
    <w:p>
      <w:pPr>
        <w:spacing w:after="0" w:line="118" w:lineRule="exact"/>
        <w:rPr>
          <w:sz w:val="20"/>
          <w:szCs w:val="20"/>
          <w:color w:val="auto"/>
        </w:rPr>
      </w:pPr>
    </w:p>
    <w:p>
      <w:pPr>
        <w:ind w:right="180" w:firstLine="324"/>
        <w:spacing w:after="0" w:line="304" w:lineRule="auto"/>
        <w:rPr>
          <w:sz w:val="20"/>
          <w:szCs w:val="20"/>
          <w:color w:val="auto"/>
        </w:rPr>
      </w:pPr>
      <w:r>
        <w:rPr>
          <w:rFonts w:ascii="Arial" w:cs="Arial" w:eastAsia="Arial" w:hAnsi="Arial"/>
          <w:sz w:val="16"/>
          <w:szCs w:val="16"/>
          <w:color w:val="auto"/>
        </w:rPr>
        <w:t>See Note 9 to the Interim Financial Statements for additional information on the PJM capacity market, systemic risks, auction delays, and related legal actions.</w:t>
      </w:r>
    </w:p>
    <w:p>
      <w:pPr>
        <w:spacing w:after="0" w:line="101" w:lineRule="exact"/>
        <w:rPr>
          <w:sz w:val="20"/>
          <w:szCs w:val="20"/>
          <w:color w:val="auto"/>
        </w:rPr>
      </w:pPr>
    </w:p>
    <w:p>
      <w:pPr>
        <w:ind w:right="440" w:firstLine="324"/>
        <w:spacing w:after="0" w:line="304" w:lineRule="auto"/>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operate: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2028/2029</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2027/2028</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2026/2027</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2025/2026</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r>
      <w:tr>
        <w:trPr>
          <w:trHeight w:val="19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 xml:space="preserve">PJM Capacity Performance ($/MWd) </w:t>
            </w:r>
            <w:r>
              <w:rPr>
                <w:rFonts w:ascii="Arial" w:cs="Arial" w:eastAsia="Arial" w:hAnsi="Arial"/>
                <w:sz w:val="9"/>
                <w:szCs w:val="9"/>
                <w:b w:val="1"/>
                <w:bCs w:val="1"/>
                <w:color w:val="auto"/>
              </w:rPr>
              <w:t>(a)</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MAAC and PPL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325.00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269.92</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49.49</w:t>
            </w:r>
          </w:p>
        </w:tc>
      </w:tr>
      <w:tr>
        <w:trPr>
          <w:trHeight w:val="203"/>
        </w:trPr>
        <w:tc>
          <w:tcPr>
            <w:tcW w:w="3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RTO</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325.00</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269.92</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28.92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166" w:lineRule="exact"/>
        <w:rPr>
          <w:sz w:val="20"/>
          <w:szCs w:val="20"/>
          <w:color w:val="auto"/>
        </w:rPr>
      </w:pPr>
    </w:p>
    <w:p>
      <w:pPr>
        <w:ind w:left="340" w:right="1620"/>
        <w:spacing w:after="0" w:line="457" w:lineRule="auto"/>
        <w:rPr>
          <w:sz w:val="20"/>
          <w:szCs w:val="20"/>
          <w:color w:val="auto"/>
        </w:rPr>
      </w:pPr>
      <w:r>
        <w:rPr>
          <w:rFonts w:ascii="Arial" w:cs="Arial" w:eastAsia="Arial" w:hAnsi="Arial"/>
          <w:sz w:val="16"/>
          <w:szCs w:val="16"/>
          <w:color w:val="auto"/>
        </w:rPr>
        <w:t xml:space="preserve">In July 2026, the Company cleared 10,180 MW in the PJM BRA for the 2028/2029 PJM Capacity Year at a price of $325.00/MWd. </w:t>
      </w:r>
      <w:r>
        <w:rPr>
          <w:rFonts w:ascii="Arial" w:cs="Arial" w:eastAsia="Arial" w:hAnsi="Arial"/>
          <w:sz w:val="16"/>
          <w:szCs w:val="16"/>
          <w:b w:val="1"/>
          <w:bCs w:val="1"/>
          <w:i w:val="1"/>
          <w:iCs w:val="1"/>
          <w:color w:val="auto"/>
        </w:rPr>
        <w:t>Seasonality/Scheduled Maintenance</w:t>
      </w:r>
    </w:p>
    <w:p>
      <w:pPr>
        <w:spacing w:after="0" w:line="1" w:lineRule="exact"/>
        <w:rPr>
          <w:sz w:val="20"/>
          <w:szCs w:val="20"/>
          <w:color w:val="auto"/>
        </w:rPr>
      </w:pPr>
    </w:p>
    <w:p>
      <w:pPr>
        <w:ind w:right="320" w:firstLine="324"/>
        <w:spacing w:after="0" w:line="265"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w:t>
      </w:r>
    </w:p>
    <w:p>
      <w:pPr>
        <w:spacing w:after="0" w:line="11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ordinarily perform planned facility maintenance during milder non-peak demand periods in the spring and fall to ensure reliability during peak</w:t>
      </w:r>
    </w:p>
    <w:p>
      <w:pPr>
        <w:spacing w:after="0" w:line="3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color w:val="auto"/>
        </w:rPr>
        <w:t>The results of operations presented below are prepared in accordance with GAAP and should be reviewed in conjunction with the Interim Financial Statements and the related Notes in this Report. The following discussion provides an analysis of the changes in our results of operations for the three and nine months ended September 30, 2026, compared to the three and nine months ended September 30, 2025.</w:t>
      </w:r>
    </w:p>
    <w:p>
      <w:pPr>
        <w:spacing w:after="0" w:line="124"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and sales under wholesale bilateral contracts. “Fuel and energy purchases” includes costs for fuel to generate electricity and settlements of financial and physical transactions related to fuel and energy purchases.</w:t>
      </w:r>
    </w:p>
    <w:p>
      <w:pPr>
        <w:spacing w:after="0" w:line="11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Results for the Three Months Ended September 30, 2026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1"/>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8"/>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1,327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515</w:t>
            </w:r>
          </w:p>
        </w:tc>
        <w:tc>
          <w:tcPr>
            <w:tcW w:w="0" w:type="dxa"/>
            <w:vAlign w:val="bottom"/>
          </w:tcPr>
          <w:p>
            <w:pPr>
              <w:spacing w:after="0"/>
              <w:rPr>
                <w:sz w:val="1"/>
                <w:szCs w:val="1"/>
                <w:color w:val="auto"/>
              </w:rPr>
            </w:pPr>
          </w:p>
        </w:tc>
      </w:tr>
      <w:tr>
        <w:trPr>
          <w:trHeight w:val="56"/>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(368)</w:t>
            </w:r>
          </w:p>
        </w:tc>
        <w:tc>
          <w:tcPr>
            <w:tcW w:w="0" w:type="dxa"/>
            <w:vAlign w:val="bottom"/>
          </w:tcPr>
          <w:p>
            <w:pPr>
              <w:spacing w:after="0"/>
              <w:rPr>
                <w:sz w:val="1"/>
                <w:szCs w:val="1"/>
                <w:color w:val="auto"/>
              </w:rPr>
            </w:pPr>
          </w:p>
        </w:tc>
      </w:tr>
      <w:tr>
        <w:trPr>
          <w:trHeight w:val="56"/>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 (includes stock-based compensation of $(51) and $(15)) (Note 13)</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04"/>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9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9"/>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Three Months Ended September 30, 2026 compared to Three Months Ended September 30, 2025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(Loss) Attributable to Stockholders decreased by $(69) million,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$147 million favorable increase, primarily due to the following:</w:t>
      </w:r>
    </w:p>
    <w:p>
      <w:pPr>
        <w:spacing w:after="0" w:line="180" w:lineRule="exact"/>
        <w:rPr>
          <w:rFonts w:ascii="Arial" w:cs="Arial" w:eastAsia="Arial" w:hAnsi="Arial"/>
          <w:sz w:val="16"/>
          <w:szCs w:val="16"/>
          <w:i w:val="1"/>
          <w:iCs w:val="1"/>
          <w:color w:val="auto"/>
        </w:rPr>
      </w:pPr>
    </w:p>
    <w:p>
      <w:pPr>
        <w:ind w:left="980" w:right="260" w:hanging="324"/>
        <w:spacing w:after="0" w:line="265" w:lineRule="auto"/>
        <w:tabs>
          <w:tab w:leader="none" w:pos="97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$216 million favorable increase. This is primarily related to: (i)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generation volumes as a result of the Freedom and Guernsey acquisitions that were completed in November 2025 and the Cornerstone Acquisition that was completed in June 2026; and (ii) an increase in realized prices and generation volumes at Susquehanna and our other dispatchable fossil generation facilities. Such amounts were offset by a decrease in realized hedge results.</w:t>
      </w:r>
    </w:p>
    <w:p>
      <w:pPr>
        <w:spacing w:after="0" w:line="118" w:lineRule="exact"/>
        <w:rPr>
          <w:rFonts w:ascii="Arial" w:cs="Arial" w:eastAsia="Arial" w:hAnsi="Arial"/>
          <w:sz w:val="16"/>
          <w:szCs w:val="16"/>
          <w:i w:val="1"/>
          <w:iCs w:val="1"/>
          <w:color w:val="auto"/>
        </w:rPr>
      </w:pPr>
    </w:p>
    <w:p>
      <w:pPr>
        <w:ind w:left="980" w:right="80" w:hanging="324"/>
        <w:spacing w:after="0" w:line="275" w:lineRule="auto"/>
        <w:tabs>
          <w:tab w:leader="none" w:pos="97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$157 million favorable increase. This is primarily related to: (i) higher cleared capacity prices, partially offset by lower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cleared through the 2026/2027 PJM BRA compared to the 2025/2026 PJM BRA; and (ii) higher capacity revenue due to the Freedom and Guernsey acquisitions that were completed in November 2025 and the Cornerstone Acquisition that was completed in June 2026.</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80" w:right="480" w:hanging="324"/>
        <w:spacing w:after="0" w:line="286" w:lineRule="auto"/>
        <w:tabs>
          <w:tab w:leader="none" w:pos="970" w:val="left"/>
        </w:tabs>
        <w:numPr>
          <w:ilvl w:val="1"/>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$(226) million unfavorable decrease. This is primarily related to the impact of higher</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power prices on the fair value of mark-to-market contracts that were entered into during the period.</w:t>
      </w:r>
    </w:p>
    <w:p>
      <w:pPr>
        <w:spacing w:after="0" w:line="115" w:lineRule="exact"/>
        <w:rPr>
          <w:rFonts w:ascii="Arial" w:cs="Arial" w:eastAsia="Arial" w:hAnsi="Arial"/>
          <w:sz w:val="16"/>
          <w:szCs w:val="16"/>
          <w:i w:val="1"/>
          <w:iCs w:val="1"/>
          <w:color w:val="auto"/>
        </w:rPr>
      </w:pPr>
    </w:p>
    <w:p>
      <w:pPr>
        <w:ind w:left="660" w:right="180" w:hanging="328"/>
        <w:spacing w:after="0" w:line="275" w:lineRule="auto"/>
        <w:tabs>
          <w:tab w:leader="none" w:pos="649"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$(36) million unfavorable increase. This is primarily related to higher generation facility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(i) an increase associated with the Freedom and Guernsey acquisitions and the Cornerstone Acquisition, which were completed in November 2025 and June 2026, respectively; and (ii) operations and routine maintenance projects at our dispatchable fossil generation facilities.</w:t>
      </w:r>
    </w:p>
    <w:p>
      <w:pPr>
        <w:spacing w:after="0" w:line="110" w:lineRule="exact"/>
        <w:rPr>
          <w:rFonts w:ascii="Arial" w:cs="Arial" w:eastAsia="Arial" w:hAnsi="Arial"/>
          <w:sz w:val="16"/>
          <w:szCs w:val="16"/>
          <w:i w:val="1"/>
          <w:iCs w:val="1"/>
          <w:color w:val="auto"/>
        </w:rPr>
      </w:pPr>
    </w:p>
    <w:p>
      <w:pPr>
        <w:ind w:left="660" w:right="40" w:hanging="328"/>
        <w:spacing w:after="0" w:line="286" w:lineRule="auto"/>
        <w:tabs>
          <w:tab w:leader="none" w:pos="649"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$(38) million unfavorable increase. This is primarily due to an increase in grant date stock price of RSUs and grant date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PSUs. See Note 13 to the Interim Financial Statements for additional information on stock-based compensation.</w:t>
      </w:r>
    </w:p>
    <w:p>
      <w:pPr>
        <w:spacing w:after="0" w:line="115" w:lineRule="exact"/>
        <w:rPr>
          <w:rFonts w:ascii="Arial" w:cs="Arial" w:eastAsia="Arial" w:hAnsi="Arial"/>
          <w:sz w:val="16"/>
          <w:szCs w:val="16"/>
          <w:i w:val="1"/>
          <w:iCs w:val="1"/>
          <w:color w:val="auto"/>
        </w:rPr>
      </w:pPr>
    </w:p>
    <w:p>
      <w:pPr>
        <w:ind w:left="660" w:right="6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$(96) million unfavorable increase. This is primarily due to an increase in depreciation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Freedom and Guernsey acquisitions that were completed in November 2025 and the Cornerstone Acquisition completed in June 2026.</w:t>
      </w:r>
    </w:p>
    <w:p>
      <w:pPr>
        <w:spacing w:after="0" w:line="115" w:lineRule="exact"/>
        <w:rPr>
          <w:rFonts w:ascii="Arial" w:cs="Arial" w:eastAsia="Arial" w:hAnsi="Arial"/>
          <w:sz w:val="16"/>
          <w:szCs w:val="16"/>
          <w:color w:val="auto"/>
        </w:rPr>
      </w:pPr>
    </w:p>
    <w:p>
      <w:pPr>
        <w:ind w:left="660" w:right="66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Nuclear decommissioning trust funds gain (loss), net. </w:t>
      </w:r>
      <w:r>
        <w:rPr>
          <w:rFonts w:ascii="Arial" w:cs="Arial" w:eastAsia="Arial" w:hAnsi="Arial"/>
          <w:sz w:val="16"/>
          <w:szCs w:val="16"/>
          <w:color w:val="auto"/>
        </w:rPr>
        <w:t>$(63) million unfavorable decrease. This is primarily due to an aggregate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and realized net gains on investments in equity securities.</w:t>
      </w:r>
    </w:p>
    <w:p>
      <w:pPr>
        <w:spacing w:after="0" w:line="101"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$(81) million unfavorable increase. This is primarily related to the: (i) TLB-3 and the Unsecured Notes</w:t>
      </w:r>
      <w:r>
        <w:rPr>
          <w:rFonts w:ascii="Arial" w:cs="Arial" w:eastAsia="Arial" w:hAnsi="Arial"/>
          <w:sz w:val="16"/>
          <w:szCs w:val="16"/>
          <w:i w:val="1"/>
          <w:iCs w:val="1"/>
          <w:color w:val="auto"/>
        </w:rPr>
        <w:t xml:space="preserve"> </w:t>
      </w:r>
      <w:r>
        <w:rPr>
          <w:rFonts w:ascii="Arial" w:cs="Arial" w:eastAsia="Arial" w:hAnsi="Arial"/>
          <w:sz w:val="16"/>
          <w:szCs w:val="16"/>
          <w:color w:val="auto"/>
        </w:rPr>
        <w:t>due 2034 and 2036, each issued in the fourth quarter 2025 in connection with the Freedom and Guernsey acquisitions that were completed in November 2025; and (ii) combined effect of financing transactions in April 2026 that included the issuances of the Unsecured Notes due 2031 and 2033 and redemption of the Secured Notes.</w:t>
      </w:r>
    </w:p>
    <w:p>
      <w:pPr>
        <w:spacing w:after="0" w:line="132" w:lineRule="exact"/>
        <w:rPr>
          <w:rFonts w:ascii="Arial" w:cs="Arial" w:eastAsia="Arial" w:hAnsi="Arial"/>
          <w:sz w:val="16"/>
          <w:szCs w:val="16"/>
          <w:color w:val="auto"/>
        </w:rPr>
      </w:pPr>
    </w:p>
    <w:p>
      <w:pPr>
        <w:ind w:left="660" w:right="160"/>
        <w:spacing w:after="0" w:line="286" w:lineRule="auto"/>
        <w:rPr>
          <w:rFonts w:ascii="Arial" w:cs="Arial" w:eastAsia="Arial" w:hAnsi="Arial"/>
          <w:sz w:val="16"/>
          <w:szCs w:val="16"/>
          <w:color w:val="auto"/>
        </w:rPr>
      </w:pPr>
      <w:r>
        <w:rPr>
          <w:rFonts w:ascii="Arial" w:cs="Arial" w:eastAsia="Arial" w:hAnsi="Arial"/>
          <w:sz w:val="16"/>
          <w:szCs w:val="16"/>
          <w:color w:val="auto"/>
        </w:rPr>
        <w:t>See Note 10 to the Interim Financial Statements for additional information on long-term debt transactions, including the issuances associated with the Cornerstone Acquisition.</w:t>
      </w:r>
    </w:p>
    <w:p>
      <w:pPr>
        <w:spacing w:after="0" w:line="115"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$41 million favorable increase. This is primarily related to the September 2026 sale of interests in the Keystone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generation facility and certain related assets.</w:t>
      </w:r>
    </w:p>
    <w:p>
      <w:pPr>
        <w:spacing w:after="0" w:line="47" w:lineRule="exact"/>
        <w:rPr>
          <w:rFonts w:ascii="Arial" w:cs="Arial" w:eastAsia="Arial" w:hAnsi="Arial"/>
          <w:sz w:val="16"/>
          <w:szCs w:val="16"/>
          <w:i w:val="1"/>
          <w:iCs w:val="1"/>
          <w:color w:val="auto"/>
        </w:rPr>
      </w:pPr>
    </w:p>
    <w:p>
      <w:pPr>
        <w:ind w:left="640" w:hanging="308"/>
        <w:spacing w:after="0"/>
        <w:tabs>
          <w:tab w:leader="none" w:pos="6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$40 million favorable decrease. This is primarily related to a decrease in pre-tax income and NDT taxes.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Results for the Nine Months Ended September 30, 2026 and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6"/>
                <w:szCs w:val="16"/>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vMerge w:val="restart"/>
          </w:tcPr>
          <w:p>
            <w:pPr>
              <w:jc w:val="center"/>
              <w:ind w:right="88"/>
              <w:spacing w:after="0" w:line="113"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1,552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3,203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1,371</w:t>
            </w:r>
          </w:p>
        </w:tc>
        <w:tc>
          <w:tcPr>
            <w:tcW w:w="0" w:type="dxa"/>
            <w:vAlign w:val="bottom"/>
          </w:tcPr>
          <w:p>
            <w:pPr>
              <w:spacing w:after="0"/>
              <w:rPr>
                <w:sz w:val="1"/>
                <w:szCs w:val="1"/>
                <w:color w:val="auto"/>
              </w:rPr>
            </w:pPr>
          </w:p>
        </w:tc>
      </w:tr>
      <w:tr>
        <w:trPr>
          <w:trHeight w:val="56"/>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980" w:type="dxa"/>
            <w:vAlign w:val="bottom"/>
            <w:shd w:val="clear" w:color="auto" w:fill="E1E1E2"/>
          </w:tcPr>
          <w:p>
            <w:pPr>
              <w:spacing w:after="0"/>
              <w:rPr>
                <w:sz w:val="17"/>
                <w:szCs w:val="17"/>
                <w:color w:val="auto"/>
              </w:rPr>
            </w:pP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(1,667)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(888)</w:t>
            </w:r>
          </w:p>
        </w:tc>
        <w:tc>
          <w:tcPr>
            <w:tcW w:w="0" w:type="dxa"/>
            <w:vAlign w:val="bottom"/>
          </w:tcPr>
          <w:p>
            <w:pPr>
              <w:spacing w:after="0"/>
              <w:rPr>
                <w:sz w:val="1"/>
                <w:szCs w:val="1"/>
                <w:color w:val="auto"/>
              </w:rPr>
            </w:pPr>
          </w:p>
        </w:tc>
      </w:tr>
      <w:tr>
        <w:trPr>
          <w:trHeight w:val="97"/>
        </w:trPr>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8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 (includes stock-based compensation of $(120) and $(42)) (Note 13)</w:t>
            </w:r>
          </w:p>
        </w:tc>
        <w:tc>
          <w:tcPr>
            <w:tcW w:w="980" w:type="dxa"/>
            <w:vAlign w:val="bottom"/>
            <w:shd w:val="clear" w:color="auto" w:fill="E1E1E2"/>
          </w:tcPr>
          <w:p>
            <w:pPr>
              <w:spacing w:after="0"/>
              <w:rPr>
                <w:sz w:val="17"/>
                <w:szCs w:val="17"/>
                <w:color w:val="auto"/>
              </w:rPr>
            </w:pP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980" w:type="dxa"/>
            <w:vAlign w:val="bottom"/>
            <w:shd w:val="clear" w:color="auto" w:fill="E1E1E2"/>
          </w:tcPr>
          <w:p>
            <w:pPr>
              <w:spacing w:after="0"/>
              <w:rPr>
                <w:sz w:val="17"/>
                <w:szCs w:val="17"/>
                <w:color w:val="auto"/>
              </w:rPr>
            </w:pP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980" w:type="dxa"/>
            <w:vAlign w:val="bottom"/>
            <w:shd w:val="clear" w:color="auto" w:fill="E1E1E2"/>
          </w:tcPr>
          <w:p>
            <w:pPr>
              <w:spacing w:after="0"/>
              <w:rPr>
                <w:sz w:val="17"/>
                <w:szCs w:val="17"/>
                <w:color w:val="auto"/>
              </w:rPr>
            </w:pP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80" w:type="dxa"/>
            <w:vAlign w:val="bottom"/>
            <w:shd w:val="clear" w:color="auto" w:fill="E1E1E2"/>
          </w:tcPr>
          <w:p>
            <w:pPr>
              <w:spacing w:after="0"/>
              <w:rPr>
                <w:sz w:val="17"/>
                <w:szCs w:val="17"/>
                <w:color w:val="auto"/>
              </w:rPr>
            </w:pP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9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
        </w:trPr>
        <w:tc>
          <w:tcPr>
            <w:tcW w:w="6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6500" w:type="dxa"/>
            <w:vAlign w:val="bottom"/>
          </w:tcPr>
          <w:p>
            <w:pPr>
              <w:ind w:left="554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Nine Months Ended September 30, 2026 compared to Nine Months Ended September 30, 2025</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(Loss) Attributable to Stockholders decreased by $(35) million, primarily driven by the factors discussed below.</w:t>
      </w:r>
    </w:p>
    <w:p>
      <w:pPr>
        <w:spacing w:after="0" w:line="181"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$483 million favorable increase, primarily due to the following:</w:t>
      </w:r>
    </w:p>
    <w:p>
      <w:pPr>
        <w:spacing w:after="0" w:line="153" w:lineRule="exact"/>
        <w:rPr>
          <w:rFonts w:ascii="Arial" w:cs="Arial" w:eastAsia="Arial" w:hAnsi="Arial"/>
          <w:sz w:val="16"/>
          <w:szCs w:val="16"/>
          <w:i w:val="1"/>
          <w:iCs w:val="1"/>
          <w:color w:val="auto"/>
        </w:rPr>
      </w:pPr>
    </w:p>
    <w:p>
      <w:pPr>
        <w:ind w:left="980" w:right="220" w:hanging="324"/>
        <w:spacing w:after="0" w:line="242" w:lineRule="auto"/>
        <w:tabs>
          <w:tab w:leader="none" w:pos="97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$522 million favorable increase. This is primarily related to: (i)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generation volumes as a result of the Freedom and Guernsey acquisitions that were completed in November 2025 and the Cornerstone Acquisition that was completed in June 2026; and (ii) an increase in realized prices and generation volumes at Susquehanna and our other dispatchable fossil generation facilities. Such amounts were offset by a decrease in realized hedge results.</w:t>
      </w:r>
    </w:p>
    <w:p>
      <w:pPr>
        <w:spacing w:after="0" w:line="121" w:lineRule="exact"/>
        <w:rPr>
          <w:rFonts w:ascii="Arial" w:cs="Arial" w:eastAsia="Arial" w:hAnsi="Arial"/>
          <w:sz w:val="16"/>
          <w:szCs w:val="16"/>
          <w:color w:val="auto"/>
        </w:rPr>
      </w:pPr>
    </w:p>
    <w:p>
      <w:pPr>
        <w:ind w:left="980" w:right="40" w:hanging="324"/>
        <w:spacing w:after="0" w:line="275" w:lineRule="auto"/>
        <w:tabs>
          <w:tab w:leader="none" w:pos="970"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$464 million favorable increase. This is primarily related to: (i) higher cleared capacity prices, partially offset by lower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cleared through the 2026/2027 PJM BRA compared to the 2025/2026 PJM BRA; and (ii) higher capacity revenue due to the Freedom and Guernsey acquisitions that were completed in November 2025 and the Cornerstone Acquisition that was completed in June 2026.</w:t>
      </w:r>
    </w:p>
    <w:p>
      <w:pPr>
        <w:spacing w:after="0" w:line="123" w:lineRule="exact"/>
        <w:rPr>
          <w:rFonts w:ascii="Arial" w:cs="Arial" w:eastAsia="Arial" w:hAnsi="Arial"/>
          <w:sz w:val="16"/>
          <w:szCs w:val="16"/>
          <w:i w:val="1"/>
          <w:iCs w:val="1"/>
          <w:color w:val="auto"/>
        </w:rPr>
      </w:pPr>
    </w:p>
    <w:p>
      <w:pPr>
        <w:ind w:left="980" w:right="440" w:hanging="324"/>
        <w:spacing w:after="0" w:line="286" w:lineRule="auto"/>
        <w:tabs>
          <w:tab w:leader="none" w:pos="970"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$(501) million unfavorable decrease. This is primarily related to the impact of higher</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power prices on the fair value of mark-to-market contracts that were open or entered into during the period.</w:t>
      </w:r>
    </w:p>
    <w:p>
      <w:pPr>
        <w:spacing w:after="0" w:line="101" w:lineRule="exact"/>
        <w:rPr>
          <w:rFonts w:ascii="Arial" w:cs="Arial" w:eastAsia="Arial" w:hAnsi="Arial"/>
          <w:sz w:val="16"/>
          <w:szCs w:val="16"/>
          <w:i w:val="1"/>
          <w:iCs w:val="1"/>
          <w:color w:val="auto"/>
        </w:rPr>
      </w:pPr>
    </w:p>
    <w:p>
      <w:pPr>
        <w:ind w:left="660" w:right="140" w:hanging="328"/>
        <w:spacing w:after="0" w:line="271" w:lineRule="auto"/>
        <w:tabs>
          <w:tab w:leader="none" w:pos="649"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$(73) million unfavorable increase. This is primarily related to higher generation facility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(i) an increase associated with the Freedom and Guernsey acquisitions and the Cornerstone Acquisition, which were completed in November 2025 and June 2026, respectively; and (ii) operations, outage, and routine maintenance projects at our dispatchable fossil generation facilities.</w:t>
      </w:r>
    </w:p>
    <w:p>
      <w:pPr>
        <w:spacing w:after="0" w:line="113" w:lineRule="exact"/>
        <w:rPr>
          <w:rFonts w:ascii="Arial" w:cs="Arial" w:eastAsia="Arial" w:hAnsi="Arial"/>
          <w:sz w:val="16"/>
          <w:szCs w:val="16"/>
          <w:i w:val="1"/>
          <w:iCs w:val="1"/>
          <w:color w:val="auto"/>
        </w:rPr>
      </w:pPr>
    </w:p>
    <w:p>
      <w:pPr>
        <w:ind w:left="660" w:right="80" w:hanging="328"/>
        <w:spacing w:after="0" w:line="265" w:lineRule="auto"/>
        <w:tabs>
          <w:tab w:leader="none" w:pos="649"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$(85) million unfavorable increase. This is primarily associated with (i) an increase in grant date stock price of RSUs</w:t>
      </w:r>
      <w:r>
        <w:rPr>
          <w:rFonts w:ascii="Arial" w:cs="Arial" w:eastAsia="Arial" w:hAnsi="Arial"/>
          <w:sz w:val="16"/>
          <w:szCs w:val="16"/>
          <w:i w:val="1"/>
          <w:iCs w:val="1"/>
          <w:color w:val="auto"/>
        </w:rPr>
        <w:t xml:space="preserve"> </w:t>
      </w:r>
      <w:r>
        <w:rPr>
          <w:rFonts w:ascii="Arial" w:cs="Arial" w:eastAsia="Arial" w:hAnsi="Arial"/>
          <w:sz w:val="16"/>
          <w:szCs w:val="16"/>
          <w:color w:val="auto"/>
        </w:rPr>
        <w:t>and grant date fair value of PSUs; and (ii) an accounting change of certain awards to liability classification in the fourth quarter 2025 as well as the periodic expense recognized for awards granted prior to 2026. See Note 13 to the Interim Financial Statements for additional information on stock-based compensation.</w:t>
      </w:r>
    </w:p>
    <w:p>
      <w:pPr>
        <w:spacing w:after="0" w:line="132" w:lineRule="exact"/>
        <w:rPr>
          <w:rFonts w:ascii="Arial" w:cs="Arial" w:eastAsia="Arial" w:hAnsi="Arial"/>
          <w:sz w:val="16"/>
          <w:szCs w:val="16"/>
          <w:i w:val="1"/>
          <w:iCs w:val="1"/>
          <w:color w:val="auto"/>
        </w:rPr>
      </w:pPr>
    </w:p>
    <w:p>
      <w:pPr>
        <w:ind w:left="660" w:hanging="328"/>
        <w:spacing w:after="0" w:line="28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$(147) million unfavorable increase. This is primarily due to an increase in depreciation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Freedom and Guernsey acquisitions that were completed in November 2025 and the Cornerstone Acquisition that was completed in June 2026.</w:t>
      </w:r>
    </w:p>
    <w:p>
      <w:pPr>
        <w:spacing w:after="0" w:line="88" w:lineRule="exact"/>
        <w:rPr>
          <w:rFonts w:ascii="Arial" w:cs="Arial" w:eastAsia="Arial" w:hAnsi="Arial"/>
          <w:sz w:val="16"/>
          <w:szCs w:val="16"/>
          <w:color w:val="auto"/>
        </w:rPr>
      </w:pPr>
    </w:p>
    <w:p>
      <w:pPr>
        <w:ind w:left="660" w:hanging="328"/>
        <w:spacing w:after="0" w:line="244"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$(278) million unfavorable increase. This is primarily related to the: (i) interest associated with the TLB-3 and the Unsecured Notes due 2034 and 2036 (each issued in the fourth quarter 2025 in connection with the Freedom and Guernsey acquisitions that were completed in November 2025), (ii) combined effect of financing transactions in April 2026 that included the issuances of the Unsecured Notes due 2031 and 2033 (each issued in connection with the Cornerstone Acquisition that was completed in June 2026) as well as the redemption of the Secured Notes, and (iii) $(77) million nonrecurring make-whole payments associated with the Secured Notes redemption. Such amounts were partially offset primarily by the recognition of net gains associated with the change in fair value of interest rate swaps due to higher SOFR forward prices.</w:t>
      </w:r>
    </w:p>
    <w:p>
      <w:pPr>
        <w:spacing w:after="0" w:line="216" w:lineRule="exact"/>
        <w:rPr>
          <w:rFonts w:ascii="Arial" w:cs="Arial" w:eastAsia="Arial" w:hAnsi="Arial"/>
          <w:sz w:val="16"/>
          <w:szCs w:val="16"/>
          <w:color w:val="auto"/>
        </w:rPr>
      </w:pPr>
    </w:p>
    <w:p>
      <w:pPr>
        <w:ind w:left="660" w:right="120"/>
        <w:spacing w:after="0" w:line="304" w:lineRule="auto"/>
        <w:rPr>
          <w:rFonts w:ascii="Arial" w:cs="Arial" w:eastAsia="Arial" w:hAnsi="Arial"/>
          <w:sz w:val="16"/>
          <w:szCs w:val="16"/>
          <w:color w:val="auto"/>
        </w:rPr>
      </w:pPr>
      <w:r>
        <w:rPr>
          <w:rFonts w:ascii="Arial" w:cs="Arial" w:eastAsia="Arial" w:hAnsi="Arial"/>
          <w:sz w:val="16"/>
          <w:szCs w:val="16"/>
          <w:color w:val="auto"/>
        </w:rPr>
        <w:t>See Note 10 to the Interim Financial Statements for additional information on long-term debt transactions, including the issuances associated with the Cornerstone Acquisition.</w:t>
      </w:r>
    </w:p>
    <w:p>
      <w:pPr>
        <w:spacing w:after="0" w:line="87" w:lineRule="exact"/>
        <w:rPr>
          <w:rFonts w:ascii="Arial" w:cs="Arial" w:eastAsia="Arial" w:hAnsi="Arial"/>
          <w:sz w:val="16"/>
          <w:szCs w:val="16"/>
          <w:color w:val="auto"/>
        </w:rPr>
      </w:pPr>
    </w:p>
    <w:p>
      <w:pPr>
        <w:ind w:left="660" w:right="40" w:hanging="328"/>
        <w:spacing w:after="0" w:line="275" w:lineRule="auto"/>
        <w:tabs>
          <w:tab w:leader="none" w:pos="649"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$33 million favorable increase. This is primarily related to a $66 million gain on the sale of our interests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Keystone generation facility and certain related assets, partially offset by a $22 million gain from the sale of the Camden and Dartmouth generation facilities in September 2025. See Note 17 to the Interim Financial Statements for additional information.</w:t>
      </w:r>
    </w:p>
    <w:p>
      <w:pPr>
        <w:spacing w:after="0" w:line="110" w:lineRule="exact"/>
        <w:rPr>
          <w:rFonts w:ascii="Arial" w:cs="Arial" w:eastAsia="Arial" w:hAnsi="Arial"/>
          <w:sz w:val="16"/>
          <w:szCs w:val="16"/>
          <w:i w:val="1"/>
          <w:iCs w:val="1"/>
          <w:color w:val="auto"/>
        </w:rPr>
      </w:pPr>
    </w:p>
    <w:p>
      <w:pPr>
        <w:ind w:left="660" w:right="140" w:hanging="328"/>
        <w:spacing w:after="0" w:line="304" w:lineRule="auto"/>
        <w:tabs>
          <w:tab w:leader="none" w:pos="649"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$32 million favorable decrease. This is primarily related to a decrease in pre-tax income and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permanent differences reducing the effective tax rate, partially offset by a change in the state blended tax rate due to the Cornerstone Acquisition.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commercial and hedging activities including settlements,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32"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contracts lowers our overall hedging requirements.</w:t>
      </w:r>
    </w:p>
    <w:p>
      <w:pPr>
        <w:spacing w:after="0" w:line="137" w:lineRule="exact"/>
        <w:rPr>
          <w:sz w:val="20"/>
          <w:szCs w:val="20"/>
          <w:color w:val="auto"/>
        </w:rPr>
      </w:pPr>
    </w:p>
    <w:p>
      <w:pPr>
        <w:ind w:right="360" w:firstLine="324"/>
        <w:spacing w:after="0" w:line="266"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31" w:lineRule="exact"/>
        <w:rPr>
          <w:sz w:val="20"/>
          <w:szCs w:val="20"/>
          <w:color w:val="auto"/>
        </w:rPr>
      </w:pPr>
    </w:p>
    <w:p>
      <w:pPr>
        <w:ind w:right="400" w:firstLine="324"/>
        <w:spacing w:after="0" w:line="266" w:lineRule="auto"/>
        <w:rPr>
          <w:sz w:val="20"/>
          <w:szCs w:val="20"/>
          <w:color w:val="auto"/>
        </w:rPr>
      </w:pPr>
      <w:r>
        <w:rPr>
          <w:rFonts w:ascii="Arial" w:cs="Arial" w:eastAsia="Arial" w:hAnsi="Arial"/>
          <w:sz w:val="16"/>
          <w:szCs w:val="16"/>
          <w:color w:val="auto"/>
        </w:rPr>
        <w:t>See the following Notes to the Interim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Liquidity and Letter of Credit Capacity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335</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689</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Unutilized RCF capacity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1,350</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r>
      <w:tr>
        <w:trPr>
          <w:trHeight w:val="21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available liquidity</w:t>
            </w:r>
          </w:p>
        </w:tc>
        <w:tc>
          <w:tcPr>
            <w:tcW w:w="10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1,685</w:t>
            </w:r>
          </w:p>
        </w:tc>
        <w:tc>
          <w:tcPr>
            <w:tcW w:w="8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1,589</w:t>
            </w: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7"/>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Additional unutilized LC capacity </w:t>
            </w:r>
            <w:r>
              <w:rPr>
                <w:rFonts w:ascii="Arial" w:cs="Arial" w:eastAsia="Arial" w:hAnsi="Arial"/>
                <w:sz w:val="9"/>
                <w:szCs w:val="9"/>
                <w:b w:val="1"/>
                <w:bCs w:val="1"/>
                <w:color w:val="auto"/>
              </w:rPr>
              <w:t>(b)</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1,018</w:t>
            </w:r>
          </w:p>
        </w:tc>
        <w:tc>
          <w:tcPr>
            <w:tcW w:w="8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652</w:t>
            </w:r>
          </w:p>
        </w:tc>
      </w:tr>
      <w:tr>
        <w:trPr>
          <w:trHeight w:val="232"/>
        </w:trPr>
        <w:tc>
          <w:tcPr>
            <w:tcW w:w="8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bl>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w:t>
      </w: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LC capacity under the LCF and excludes LC capacity available under the RCF.</w:t>
      </w:r>
    </w:p>
    <w:p>
      <w:pPr>
        <w:spacing w:after="0" w:line="153" w:lineRule="exact"/>
        <w:rPr>
          <w:sz w:val="20"/>
          <w:szCs w:val="20"/>
          <w:color w:val="auto"/>
        </w:rPr>
      </w:pPr>
    </w:p>
    <w:p>
      <w:pPr>
        <w:jc w:val="both"/>
        <w:ind w:right="60" w:firstLine="324"/>
        <w:spacing w:after="0" w:line="271"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Interim Financial Statements for additional information on the RCF and LCF.</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165"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2"/>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224</w:t>
            </w:r>
          </w:p>
        </w:tc>
        <w:tc>
          <w:tcPr>
            <w:tcW w:w="8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(used in) operating, investing, and financing activities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6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197"/>
        </w:trPr>
        <w:tc>
          <w:tcPr>
            <w:tcW w:w="65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E1E1E2"/>
          </w:tcPr>
          <w:p>
            <w:pPr>
              <w:spacing w:after="0"/>
              <w:rPr>
                <w:sz w:val="17"/>
                <w:szCs w:val="17"/>
                <w:color w:val="auto"/>
              </w:rPr>
            </w:pPr>
          </w:p>
        </w:tc>
        <w:tc>
          <w:tcPr>
            <w:tcW w:w="1140" w:type="dxa"/>
            <w:vAlign w:val="bottom"/>
            <w:shd w:val="clear" w:color="auto" w:fill="E1E1E2"/>
          </w:tcPr>
          <w:p>
            <w:pPr>
              <w:jc w:val="right"/>
              <w:ind w:right="9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424</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r>
      <w:tr>
        <w:trPr>
          <w:trHeight w:val="198"/>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7"/>
              </w:rPr>
              <w:t>(156)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(2,807)</w:t>
            </w:r>
          </w:p>
        </w:tc>
      </w:tr>
      <w:tr>
        <w:trPr>
          <w:trHeight w:val="203"/>
        </w:trPr>
        <w:tc>
          <w:tcPr>
            <w:tcW w:w="64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2,070</w:t>
            </w:r>
          </w:p>
        </w:tc>
        <w:tc>
          <w:tcPr>
            <w:tcW w:w="100" w:type="dxa"/>
            <w:vAlign w:val="bottom"/>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w w:val="97"/>
              </w:rPr>
              <w:t>(136)</w:t>
            </w:r>
          </w:p>
        </w:tc>
        <w:tc>
          <w:tcPr>
            <w:tcW w:w="8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2,206</w:t>
            </w: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6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color w:val="auto"/>
        </w:rPr>
        <w:t>A change of $66 million in net cash provided by (used in) operating activities is generally aligned with results from operations combined with working capital changes in the normal course of business. See “—Results of Operations” for additional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65" w:lineRule="exact"/>
        <w:rPr>
          <w:sz w:val="20"/>
          <w:szCs w:val="20"/>
          <w:color w:val="auto"/>
        </w:rPr>
      </w:pPr>
    </w:p>
    <w:p>
      <w:pPr>
        <w:ind w:right="600" w:firstLine="324"/>
        <w:spacing w:after="0" w:line="304" w:lineRule="auto"/>
        <w:rPr>
          <w:sz w:val="20"/>
          <w:szCs w:val="20"/>
          <w:color w:val="auto"/>
        </w:rPr>
      </w:pPr>
      <w:r>
        <w:rPr>
          <w:rFonts w:ascii="Arial" w:cs="Arial" w:eastAsia="Arial" w:hAnsi="Arial"/>
          <w:sz w:val="16"/>
          <w:szCs w:val="16"/>
          <w:color w:val="auto"/>
        </w:rPr>
        <w:t>A change of $(2.8) billion in net cash provided by (used in) investing activities was primarily due to $(2.6) billion used to finance the Cornerstone Acquisition. See Note 17 to the Interim Financial Statements for additional information on the acquisition.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color w:val="auto"/>
        </w:rPr>
        <w:t>A change of $2.2 billion in net cash provided by (used in) financing activities was primarily due to (i) $4.0 billion in new debt from the issuance of the Unsecured Notes due 2031 and 2033; (ii) $(1.2) billion redemption of the Secured Notes; (iii) $(399) million decrease in share repurchases; and (iv) $(141) million in payments for tax withholdings related to stock-based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Guarantees of Subsidiary Obligations</w:t>
      </w:r>
    </w:p>
    <w:p>
      <w:pPr>
        <w:spacing w:after="0" w:line="17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TES guarantees certain agreements and obligations for its subsidiaries. Certain agreements may contingently require payments to a guaranteed or indemnified party. See “Guarantees and Other Assurances” in Note 9 to the Interim Financial Statements for additional information regarding guarantees.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color w:val="auto"/>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32"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spacing w:after="0" w:line="122"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to the non-GAAP financial measure of Adjusted EBITDA: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9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E1E1E2"/>
          </w:tcPr>
          <w:p>
            <w:pPr>
              <w:spacing w:after="0"/>
              <w:rPr>
                <w:sz w:val="16"/>
                <w:szCs w:val="16"/>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E1E1E2"/>
          </w:tcPr>
          <w:p>
            <w:pPr>
              <w:spacing w:after="0"/>
              <w:rPr>
                <w:sz w:val="16"/>
                <w:szCs w:val="16"/>
                <w:color w:val="auto"/>
              </w:rPr>
            </w:pPr>
          </w:p>
        </w:tc>
        <w:tc>
          <w:tcPr>
            <w:tcW w:w="1180" w:type="dxa"/>
            <w:vAlign w:val="bottom"/>
            <w:tcBorders>
              <w:bottom w:val="single" w:sz="8" w:color="auto"/>
            </w:tcBorders>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w w:val="94"/>
              </w:rPr>
              <w:t>207</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1E1E2"/>
          </w:tcPr>
          <w:p>
            <w:pPr>
              <w:spacing w:after="0"/>
              <w:rPr>
                <w:sz w:val="16"/>
                <w:szCs w:val="16"/>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144</w:t>
            </w:r>
          </w:p>
        </w:tc>
      </w:tr>
      <w:tr>
        <w:trPr>
          <w:trHeight w:val="199"/>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amortization and accretion </w:t>
            </w:r>
            <w:r>
              <w:rPr>
                <w:rFonts w:ascii="Arial" w:cs="Arial" w:eastAsia="Arial" w:hAnsi="Arial"/>
                <w:sz w:val="18"/>
                <w:szCs w:val="18"/>
                <w:color w:val="auto"/>
                <w:vertAlign w:val="superscript"/>
              </w:rPr>
              <w:t>(a)</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198</w:t>
            </w: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Nuclear fuel amortization </w:t>
            </w:r>
            <w:r>
              <w:rPr>
                <w:rFonts w:ascii="Arial" w:cs="Arial" w:eastAsia="Arial" w:hAnsi="Arial"/>
                <w:sz w:val="18"/>
                <w:szCs w:val="18"/>
                <w:color w:val="auto"/>
                <w:vertAlign w:val="superscript"/>
              </w:rPr>
              <w:t>(a)</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3"/>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(Gain) loss on asset sales, net (Note 17)</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7"/>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Non-cash impairments and other charges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Acquisition and divestiture activities </w:t>
            </w:r>
            <w:r>
              <w:rPr>
                <w:rFonts w:ascii="Arial" w:cs="Arial" w:eastAsia="Arial" w:hAnsi="Arial"/>
                <w:sz w:val="18"/>
                <w:szCs w:val="18"/>
                <w:color w:val="auto"/>
                <w:vertAlign w:val="superscript"/>
              </w:rPr>
              <w:t>(b)</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9"/>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1060" w:type="dxa"/>
            <w:vAlign w:val="bottom"/>
            <w:shd w:val="clear" w:color="auto" w:fill="E1E1E2"/>
          </w:tcPr>
          <w:p>
            <w:pPr>
              <w:spacing w:after="0"/>
              <w:rPr>
                <w:sz w:val="19"/>
                <w:szCs w:val="19"/>
                <w:color w:val="auto"/>
              </w:rPr>
            </w:pP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9"/>
                <w:szCs w:val="19"/>
                <w:color w:val="auto"/>
              </w:rPr>
            </w:pPr>
          </w:p>
        </w:tc>
        <w:tc>
          <w:tcPr>
            <w:tcW w:w="118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spacing w:after="0"/>
              <w:rPr>
                <w:sz w:val="19"/>
                <w:szCs w:val="19"/>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19"/>
        </w:trPr>
        <w:tc>
          <w:tcPr>
            <w:tcW w:w="49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669</w:t>
            </w:r>
          </w:p>
        </w:tc>
        <w:tc>
          <w:tcPr>
            <w:tcW w:w="100" w:type="dxa"/>
            <w:vAlign w:val="bottom"/>
            <w:shd w:val="clear" w:color="auto" w:fill="E1E1E2"/>
          </w:tcPr>
          <w:p>
            <w:pPr>
              <w:spacing w:after="0"/>
              <w:rPr>
                <w:sz w:val="19"/>
                <w:szCs w:val="19"/>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4"/>
              </w:rPr>
              <w:t>363</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1,516</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653</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the periodic amortization of fair value adjustments associated with acquired fuel supply contract liabilities and intangible assets.</w:t>
      </w:r>
    </w:p>
    <w:p>
      <w:pPr>
        <w:spacing w:after="0" w:line="7" w:lineRule="exact"/>
        <w:rPr>
          <w:rFonts w:ascii="Arial" w:cs="Arial" w:eastAsia="Arial" w:hAnsi="Arial"/>
          <w:sz w:val="13"/>
          <w:szCs w:val="13"/>
          <w:color w:val="auto"/>
        </w:rPr>
      </w:pPr>
    </w:p>
    <w:p>
      <w:pPr>
        <w:ind w:left="340" w:right="160" w:hanging="332"/>
        <w:spacing w:after="0" w:line="245" w:lineRule="auto"/>
        <w:tabs>
          <w:tab w:leader="none" w:pos="332"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The Company’s financial statements are prepared in conformity with GAAP, which requires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our 2025 Annual Report for a description of our significant accounting policies and estimates.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to the Interim Financial Statements for a description of our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ind w:right="280" w:firstLine="324"/>
        <w:spacing w:after="0" w:line="265" w:lineRule="auto"/>
        <w:rPr>
          <w:sz w:val="20"/>
          <w:szCs w:val="20"/>
          <w:color w:val="auto"/>
        </w:rPr>
      </w:pPr>
      <w:r>
        <w:rPr>
          <w:rFonts w:ascii="Arial" w:cs="Arial" w:eastAsia="Arial" w:hAnsi="Arial"/>
          <w:sz w:val="16"/>
          <w:szCs w:val="16"/>
          <w:color w:val="auto"/>
        </w:rPr>
        <w:t>We have evaluated, under the supervision and with the participation of management, including our principal executive officer and principal financial officer,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as of September 30, 2026.</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During the three months ended September 30, 2026, management was in the process of integrating the internal controls of the entities recently acquired in the Cornerstone Acquisition into the Company’s existing operations. Other than additional controls associated with the Cornerstone Acquisition, there were no changes in our internal control over financial reporting that occurred during the three months ended September 30, 2026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There have been no additional material developments with respect to the information previously reported under “Part I, Item 3. Legal Proceedings” of our 2025 Annual Report, as updated by our 2026 Quarterly Reports.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Interim Financial Statements for information about other material legal proceedings to which we are subject.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information related to the Company’s risk factors, see “Part I, Item 1A. Risk Factors” in our 2025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contains information regarding our purchases of TEC common stock during the three months ended September 30,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 number of shares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2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vMerge w:val="restart"/>
          </w:tcPr>
          <w:p>
            <w:pPr>
              <w:jc w:val="center"/>
              <w:ind w:right="73"/>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50"/>
        </w:trPr>
        <w:tc>
          <w:tcPr>
            <w:tcW w:w="4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2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Monthly Period</w:t>
            </w:r>
          </w:p>
        </w:tc>
        <w:tc>
          <w:tcPr>
            <w:tcW w:w="100" w:type="dxa"/>
            <w:vAlign w:val="bottom"/>
            <w:vMerge w:val="restart"/>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 plan</w:t>
            </w:r>
          </w:p>
        </w:tc>
        <w:tc>
          <w:tcPr>
            <w:tcW w:w="0" w:type="dxa"/>
            <w:vAlign w:val="bottom"/>
          </w:tcPr>
          <w:p>
            <w:pPr>
              <w:spacing w:after="0"/>
              <w:rPr>
                <w:sz w:val="1"/>
                <w:szCs w:val="1"/>
                <w:color w:val="auto"/>
              </w:rPr>
            </w:pPr>
          </w:p>
        </w:tc>
      </w:tr>
      <w:tr>
        <w:trPr>
          <w:trHeight w:val="148"/>
        </w:trPr>
        <w:tc>
          <w:tcPr>
            <w:tcW w:w="40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5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E1E1E2"/>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7"/>
                <w:szCs w:val="17"/>
                <w:b w:val="1"/>
                <w:bCs w:val="1"/>
                <w:color w:val="auto"/>
                <w:vertAlign w:val="superscript"/>
              </w:rPr>
              <w:t>(a)</w:t>
            </w:r>
          </w:p>
        </w:tc>
        <w:tc>
          <w:tcPr>
            <w:tcW w:w="100" w:type="dxa"/>
            <w:vAlign w:val="bottom"/>
            <w:tcBorders>
              <w:bottom w:val="single" w:sz="8" w:color="E1E1E2"/>
            </w:tcBorders>
          </w:tcPr>
          <w:p>
            <w:pPr>
              <w:spacing w:after="0"/>
              <w:rPr>
                <w:sz w:val="12"/>
                <w:szCs w:val="12"/>
                <w:color w:val="auto"/>
              </w:rPr>
            </w:pPr>
          </w:p>
        </w:tc>
        <w:tc>
          <w:tcPr>
            <w:tcW w:w="19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 xml:space="preserve">publicly announced plan </w:t>
            </w:r>
            <w:r>
              <w:rPr>
                <w:rFonts w:ascii="Arial" w:cs="Arial" w:eastAsia="Arial" w:hAnsi="Arial"/>
                <w:sz w:val="9"/>
                <w:szCs w:val="9"/>
                <w:b w:val="1"/>
                <w:bCs w:val="1"/>
                <w:color w:val="auto"/>
              </w:rPr>
              <w:t>(b)</w:t>
            </w:r>
          </w:p>
        </w:tc>
        <w:tc>
          <w:tcPr>
            <w:tcW w:w="80" w:type="dxa"/>
            <w:vAlign w:val="bottom"/>
            <w:tcBorders>
              <w:bottom w:val="single" w:sz="8" w:color="E1E1E2"/>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73"/>
              <w:spacing w:after="0"/>
              <w:rPr>
                <w:sz w:val="20"/>
                <w:szCs w:val="20"/>
                <w:color w:val="auto"/>
              </w:rPr>
            </w:pP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July</w:t>
            </w:r>
          </w:p>
        </w:tc>
        <w:tc>
          <w:tcPr>
            <w:tcW w:w="1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98"/>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August</w:t>
            </w:r>
          </w:p>
        </w:tc>
        <w:tc>
          <w:tcPr>
            <w:tcW w:w="150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339.47</w:t>
            </w:r>
          </w:p>
        </w:tc>
        <w:tc>
          <w:tcPr>
            <w:tcW w:w="100" w:type="dxa"/>
            <w:vAlign w:val="bottom"/>
          </w:tcPr>
          <w:p>
            <w:pPr>
              <w:spacing w:after="0"/>
              <w:rPr>
                <w:sz w:val="17"/>
                <w:szCs w:val="17"/>
                <w:color w:val="auto"/>
              </w:rPr>
            </w:pPr>
          </w:p>
        </w:tc>
        <w:tc>
          <w:tcPr>
            <w:tcW w:w="1940" w:type="dxa"/>
            <w:vAlign w:val="bottom"/>
          </w:tcPr>
          <w:p>
            <w:pPr>
              <w:jc w:val="right"/>
              <w:ind w:right="8"/>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September</w:t>
            </w:r>
          </w:p>
        </w:tc>
        <w:tc>
          <w:tcPr>
            <w:tcW w:w="100" w:type="dxa"/>
            <w:vAlign w:val="bottom"/>
            <w:shd w:val="clear" w:color="auto" w:fill="E1E1E2"/>
          </w:tcPr>
          <w:p>
            <w:pPr>
              <w:spacing w:after="0"/>
              <w:rPr>
                <w:sz w:val="17"/>
                <w:szCs w:val="17"/>
                <w:color w:val="auto"/>
              </w:rPr>
            </w:pPr>
          </w:p>
        </w:tc>
        <w:tc>
          <w:tcPr>
            <w:tcW w:w="1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9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99"/>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600,000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339.47</w:t>
            </w:r>
          </w:p>
        </w:tc>
        <w:tc>
          <w:tcPr>
            <w:tcW w:w="100" w:type="dxa"/>
            <w:vAlign w:val="bottom"/>
          </w:tcPr>
          <w:p>
            <w:pPr>
              <w:spacing w:after="0"/>
              <w:rPr>
                <w:sz w:val="17"/>
                <w:szCs w:val="17"/>
                <w:color w:val="auto"/>
              </w:rPr>
            </w:pPr>
          </w:p>
        </w:tc>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600,000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Excludes transaction costs and excise taxes.</w:t>
      </w: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shares repurchased under the SRP, separate from the ASR program. See below for a description of the SRP and ASR program.</w:t>
      </w: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Dollars in millions.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79"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Our Board of Directors approved the SRP in October 2023, authorizing the Company to repurchase TEC’s outstanding shares of common stock. See “Part II, Item 5. Market for Registrant’s Common Equity, Related Stockholder Matters and Issuer Purchases of Equity Securities” in our 2025 Annual Report for additional information related to the SRP and shares repurchased under the SRP.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contains information on changes to the SRP since program inception: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Board Authorization Date</w:t>
            </w:r>
          </w:p>
        </w:tc>
        <w:tc>
          <w:tcPr>
            <w:tcW w:w="100" w:type="dxa"/>
            <w:vAlign w:val="bottom"/>
            <w:tcBorders>
              <w:bottom w:val="single" w:sz="8" w:color="E1E1E2"/>
            </w:tcBorders>
          </w:tcPr>
          <w:p>
            <w:pPr>
              <w:spacing w:after="0"/>
              <w:rPr>
                <w:sz w:val="17"/>
                <w:szCs w:val="17"/>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SRP Expiration Date</w:t>
            </w: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 xml:space="preserve">Remaining SRP Capacity at Time of Authorization </w:t>
            </w:r>
            <w:r>
              <w:rPr>
                <w:rFonts w:ascii="Arial" w:cs="Arial" w:eastAsia="Arial" w:hAnsi="Arial"/>
                <w:sz w:val="9"/>
                <w:szCs w:val="9"/>
                <w:b w:val="1"/>
                <w:bCs w:val="1"/>
                <w:color w:val="auto"/>
              </w:rPr>
              <w:t>(a)</w:t>
            </w:r>
          </w:p>
        </w:tc>
      </w:tr>
      <w:tr>
        <w:trPr>
          <w:trHeight w:val="197"/>
        </w:trPr>
        <w:tc>
          <w:tcPr>
            <w:tcW w:w="300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October 2023</w:t>
            </w:r>
          </w:p>
        </w:tc>
        <w:tc>
          <w:tcPr>
            <w:tcW w:w="332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December 2025</w:t>
            </w:r>
          </w:p>
        </w:tc>
        <w:tc>
          <w:tcPr>
            <w:tcW w:w="380" w:type="dxa"/>
            <w:vAlign w:val="bottom"/>
            <w:shd w:val="clear" w:color="auto" w:fill="E1E1E2"/>
          </w:tcPr>
          <w:p>
            <w:pPr>
              <w:jc w:val="right"/>
              <w:ind w:right="208"/>
              <w:spacing w:after="0"/>
              <w:rPr>
                <w:sz w:val="20"/>
                <w:szCs w:val="20"/>
                <w:color w:val="auto"/>
              </w:rPr>
            </w:pPr>
            <w:r>
              <w:rPr>
                <w:rFonts w:ascii="Arial" w:cs="Arial" w:eastAsia="Arial" w:hAnsi="Arial"/>
                <w:sz w:val="14"/>
                <w:szCs w:val="14"/>
                <w:color w:val="auto"/>
              </w:rPr>
              <w:t>$</w:t>
            </w:r>
          </w:p>
        </w:tc>
        <w:tc>
          <w:tcPr>
            <w:tcW w:w="4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300</w:t>
            </w:r>
          </w:p>
        </w:tc>
      </w:tr>
      <w:tr>
        <w:trPr>
          <w:trHeight w:val="198"/>
        </w:trPr>
        <w:tc>
          <w:tcPr>
            <w:tcW w:w="3000" w:type="dxa"/>
            <w:vAlign w:val="bottom"/>
            <w:gridSpan w:val="2"/>
          </w:tcPr>
          <w:p>
            <w:pPr>
              <w:jc w:val="center"/>
              <w:ind w:right="100"/>
              <w:spacing w:after="0"/>
              <w:rPr>
                <w:sz w:val="20"/>
                <w:szCs w:val="20"/>
                <w:color w:val="auto"/>
              </w:rPr>
            </w:pPr>
            <w:r>
              <w:rPr>
                <w:rFonts w:ascii="Arial" w:cs="Arial" w:eastAsia="Arial" w:hAnsi="Arial"/>
                <w:sz w:val="14"/>
                <w:szCs w:val="14"/>
                <w:color w:val="auto"/>
              </w:rPr>
              <w:t>May 2024</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rPr>
              <w:t>December 2025</w:t>
            </w:r>
          </w:p>
        </w:tc>
        <w:tc>
          <w:tcPr>
            <w:tcW w:w="380" w:type="dxa"/>
            <w:vAlign w:val="bottom"/>
          </w:tcPr>
          <w:p>
            <w:pPr>
              <w:spacing w:after="0"/>
              <w:rPr>
                <w:sz w:val="17"/>
                <w:szCs w:val="17"/>
                <w:color w:val="auto"/>
              </w:rPr>
            </w:pPr>
          </w:p>
        </w:tc>
        <w:tc>
          <w:tcPr>
            <w:tcW w:w="454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7"/>
        </w:trPr>
        <w:tc>
          <w:tcPr>
            <w:tcW w:w="300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September 2024</w:t>
            </w:r>
          </w:p>
        </w:tc>
        <w:tc>
          <w:tcPr>
            <w:tcW w:w="332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December 2026</w:t>
            </w:r>
          </w:p>
        </w:tc>
        <w:tc>
          <w:tcPr>
            <w:tcW w:w="380" w:type="dxa"/>
            <w:vAlign w:val="bottom"/>
            <w:shd w:val="clear" w:color="auto" w:fill="E1E1E2"/>
          </w:tcPr>
          <w:p>
            <w:pPr>
              <w:spacing w:after="0"/>
              <w:rPr>
                <w:sz w:val="17"/>
                <w:szCs w:val="17"/>
                <w:color w:val="auto"/>
              </w:rPr>
            </w:pPr>
          </w:p>
        </w:tc>
        <w:tc>
          <w:tcPr>
            <w:tcW w:w="45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1,250</w:t>
            </w:r>
          </w:p>
        </w:tc>
      </w:tr>
      <w:tr>
        <w:trPr>
          <w:trHeight w:val="198"/>
        </w:trPr>
        <w:tc>
          <w:tcPr>
            <w:tcW w:w="3000" w:type="dxa"/>
            <w:vAlign w:val="bottom"/>
            <w:gridSpan w:val="2"/>
          </w:tcPr>
          <w:p>
            <w:pPr>
              <w:jc w:val="center"/>
              <w:ind w:right="100"/>
              <w:spacing w:after="0"/>
              <w:rPr>
                <w:sz w:val="20"/>
                <w:szCs w:val="20"/>
                <w:color w:val="auto"/>
              </w:rPr>
            </w:pPr>
            <w:r>
              <w:rPr>
                <w:rFonts w:ascii="Arial" w:cs="Arial" w:eastAsia="Arial" w:hAnsi="Arial"/>
                <w:sz w:val="14"/>
                <w:szCs w:val="14"/>
                <w:color w:val="auto"/>
              </w:rPr>
              <w:t>September 2025</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rPr>
              <w:t>December 2028</w:t>
            </w:r>
          </w:p>
        </w:tc>
        <w:tc>
          <w:tcPr>
            <w:tcW w:w="380" w:type="dxa"/>
            <w:vAlign w:val="bottom"/>
          </w:tcPr>
          <w:p>
            <w:pPr>
              <w:spacing w:after="0"/>
              <w:rPr>
                <w:sz w:val="17"/>
                <w:szCs w:val="17"/>
                <w:color w:val="auto"/>
              </w:rPr>
            </w:pPr>
          </w:p>
        </w:tc>
        <w:tc>
          <w:tcPr>
            <w:tcW w:w="454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03"/>
        </w:trPr>
        <w:tc>
          <w:tcPr>
            <w:tcW w:w="290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September 2026</w:t>
            </w:r>
          </w:p>
        </w:tc>
        <w:tc>
          <w:tcPr>
            <w:tcW w:w="100" w:type="dxa"/>
            <w:vAlign w:val="bottom"/>
            <w:shd w:val="clear" w:color="auto" w:fill="E1E1E2"/>
          </w:tcPr>
          <w:p>
            <w:pPr>
              <w:spacing w:after="0"/>
              <w:rPr>
                <w:sz w:val="17"/>
                <w:szCs w:val="17"/>
                <w:color w:val="auto"/>
              </w:rPr>
            </w:pPr>
          </w:p>
        </w:tc>
        <w:tc>
          <w:tcPr>
            <w:tcW w:w="322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December 2028</w:t>
            </w:r>
          </w:p>
        </w:tc>
        <w:tc>
          <w:tcPr>
            <w:tcW w:w="10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4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Dollars in millions.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Accelerated Share Repurchases</w:t>
      </w:r>
    </w:p>
    <w:p>
      <w:pPr>
        <w:spacing w:after="0" w:line="179"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6"/>
          <w:szCs w:val="16"/>
          <w:color w:val="auto"/>
        </w:rPr>
        <w:t>On September 29, 2026, the Company entered into an ASR program, authorized under the SRP, to repurchase an aggregate of $1.5 billion of shares of TEC common stock. No shares of TEC common stock were repurchased under the ASR program during the three months ended September 30, 2026. As of the date of this Report, $1.5 billion aggregate capacity remains available under the SRP.</w:t>
      </w:r>
    </w:p>
    <w:p>
      <w:pPr>
        <w:spacing w:after="0" w:line="131" w:lineRule="exact"/>
        <w:rPr>
          <w:sz w:val="20"/>
          <w:szCs w:val="20"/>
          <w:color w:val="auto"/>
        </w:rPr>
      </w:pPr>
    </w:p>
    <w:p>
      <w:pPr>
        <w:ind w:right="660" w:firstLine="324"/>
        <w:spacing w:after="0" w:line="275" w:lineRule="auto"/>
        <w:rPr>
          <w:sz w:val="20"/>
          <w:szCs w:val="20"/>
          <w:color w:val="auto"/>
        </w:rPr>
      </w:pPr>
      <w:r>
        <w:rPr>
          <w:rFonts w:ascii="Arial" w:cs="Arial" w:eastAsia="Arial" w:hAnsi="Arial"/>
          <w:sz w:val="16"/>
          <w:szCs w:val="16"/>
          <w:color w:val="auto"/>
        </w:rPr>
        <w:t>On October 1, 2026, the Company received and retired 3,811,460 shares of TEC common stock repurchased under the ASR program, which is equivalent to 80% of the aggregate $1.5 billion value of the ASR program, based on a share price of $314.84. See Note 15 to the Interim Financial Statements for additional information regarding the ASR program.</w:t>
      </w:r>
    </w:p>
    <w:p>
      <w:pPr>
        <w:spacing w:after="0" w:line="110" w:lineRule="exact"/>
        <w:rPr>
          <w:sz w:val="20"/>
          <w:szCs w:val="20"/>
          <w:color w:val="auto"/>
        </w:rPr>
      </w:pPr>
    </w:p>
    <w:p>
      <w:pPr>
        <w:ind w:right="540" w:firstLine="324"/>
        <w:spacing w:after="0" w:line="286" w:lineRule="auto"/>
        <w:rPr>
          <w:sz w:val="20"/>
          <w:szCs w:val="20"/>
          <w:color w:val="auto"/>
        </w:rPr>
      </w:pPr>
      <w:r>
        <w:rPr>
          <w:rFonts w:ascii="Arial" w:cs="Arial" w:eastAsia="Arial" w:hAnsi="Arial"/>
          <w:sz w:val="16"/>
          <w:szCs w:val="16"/>
          <w:color w:val="auto"/>
        </w:rPr>
        <w:t>For a description of limitations on the payment of our dividends, see “Part II, Item 5. Market for Registrant’s Common Equity, Related Stockholder Matters and Issuer Purchases of Equity Securities” in our 2025 Annual Report.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10b5-1 Trading Plans</w:t>
      </w:r>
    </w:p>
    <w:p>
      <w:pPr>
        <w:spacing w:after="0" w:line="16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During the three months ended September 30, 2026, the following directors or “officers” (as such term is defined in Rule 16(a)-1(f) under the Exchange Act) of the Company adopted or terminated a “Rule 10b5-1 trading agreement” or “non-Rule 10b5-1 trading arrangement” (each as defined in Item 408 of Regulation S-K), as described in the table below:</w:t>
      </w:r>
    </w:p>
    <w:p>
      <w:pPr>
        <w:spacing w:after="0" w:line="157"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Aggregate Number of Shares</w:t>
      </w:r>
    </w:p>
    <w:p>
      <w:pPr>
        <w:jc w:val="center"/>
        <w:ind w:left="4360"/>
        <w:spacing w:after="0" w:line="221" w:lineRule="auto"/>
        <w:rPr>
          <w:sz w:val="20"/>
          <w:szCs w:val="20"/>
          <w:color w:val="auto"/>
        </w:rPr>
      </w:pPr>
      <w:r>
        <w:rPr>
          <w:rFonts w:ascii="Arial" w:cs="Arial" w:eastAsia="Arial" w:hAnsi="Arial"/>
          <w:sz w:val="14"/>
          <w:szCs w:val="14"/>
          <w:b w:val="1"/>
          <w:bCs w:val="1"/>
          <w:color w:val="auto"/>
        </w:rPr>
        <w:t>of Common Stock to be</w:t>
      </w:r>
    </w:p>
    <w:tbl>
      <w:tblPr>
        <w:tblLayout w:type="fixed"/>
        <w:tblInd w:w="0" w:type="dxa"/>
        <w:tblCellMar>
          <w:top w:w="0" w:type="dxa"/>
          <w:left w:w="0" w:type="dxa"/>
          <w:bottom w:w="0" w:type="dxa"/>
          <w:right w:w="0" w:type="dxa"/>
        </w:tblCellMar>
      </w:tblPr>
      <w:tr>
        <w:trPr>
          <w:trHeight w:val="130"/>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Character of Trading</w:t>
            </w:r>
          </w:p>
        </w:tc>
        <w:tc>
          <w:tcPr>
            <w:tcW w:w="21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Purchased or Sold Pursuant</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2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to the Trading Arrangement</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9"/>
                <w:szCs w:val="9"/>
                <w:color w:val="auto"/>
              </w:rPr>
            </w:pPr>
          </w:p>
        </w:tc>
        <w:tc>
          <w:tcPr>
            <w:tcW w:w="16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Adopted</w:t>
            </w:r>
          </w:p>
        </w:tc>
        <w:tc>
          <w:tcPr>
            <w:tcW w:w="80" w:type="dxa"/>
            <w:vAlign w:val="bottom"/>
            <w:vMerge w:val="restart"/>
          </w:tcPr>
          <w:p>
            <w:pPr>
              <w:spacing w:after="0"/>
              <w:rPr>
                <w:sz w:val="9"/>
                <w:szCs w:val="9"/>
                <w:color w:val="auto"/>
              </w:rPr>
            </w:pPr>
          </w:p>
        </w:tc>
        <w:tc>
          <w:tcPr>
            <w:tcW w:w="19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Arrangement</w:t>
            </w:r>
          </w:p>
        </w:tc>
        <w:tc>
          <w:tcPr>
            <w:tcW w:w="80" w:type="dxa"/>
            <w:vAlign w:val="bottom"/>
            <w:vMerge w:val="restart"/>
          </w:tcPr>
          <w:p>
            <w:pPr>
              <w:spacing w:after="0"/>
              <w:rPr>
                <w:sz w:val="9"/>
                <w:szCs w:val="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(a)</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Duration</w:t>
            </w:r>
          </w:p>
        </w:tc>
        <w:tc>
          <w:tcPr>
            <w:tcW w:w="80" w:type="dxa"/>
            <w:vAlign w:val="bottom"/>
            <w:vMerge w:val="restart"/>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Terminated</w:t>
            </w:r>
          </w:p>
        </w:tc>
        <w:tc>
          <w:tcPr>
            <w:tcW w:w="0" w:type="dxa"/>
            <w:vAlign w:val="bottom"/>
          </w:tcPr>
          <w:p>
            <w:pPr>
              <w:spacing w:after="0"/>
              <w:rPr>
                <w:sz w:val="1"/>
                <w:szCs w:val="1"/>
                <w:color w:val="auto"/>
              </w:rPr>
            </w:pPr>
          </w:p>
        </w:tc>
      </w:tr>
      <w:tr>
        <w:trPr>
          <w:trHeight w:val="54"/>
        </w:trPr>
        <w:tc>
          <w:tcPr>
            <w:tcW w:w="15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E1E1E2"/>
            </w:tcBorders>
            <w:vMerge w:val="continue"/>
          </w:tcPr>
          <w:p>
            <w:pPr>
              <w:spacing w:after="0"/>
              <w:rPr>
                <w:sz w:val="4"/>
                <w:szCs w:val="4"/>
                <w:color w:val="auto"/>
              </w:rPr>
            </w:pPr>
          </w:p>
        </w:tc>
        <w:tc>
          <w:tcPr>
            <w:tcW w:w="16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E1E1E2"/>
            </w:tcBorders>
            <w:vMerge w:val="continue"/>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E1E1E2"/>
            </w:tcBorders>
            <w:vMerge w:val="continue"/>
          </w:tcPr>
          <w:p>
            <w:pPr>
              <w:spacing w:after="0"/>
              <w:rPr>
                <w:sz w:val="4"/>
                <w:szCs w:val="4"/>
                <w:color w:val="auto"/>
              </w:rPr>
            </w:pPr>
          </w:p>
        </w:tc>
        <w:tc>
          <w:tcPr>
            <w:tcW w:w="19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E1E1E2"/>
            </w:tcBorders>
            <w:vMerge w:val="continue"/>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Borders>
              <w:bottom w:val="single" w:sz="8" w:color="E1E1E2"/>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E1E1E2"/>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66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color w:val="auto"/>
              </w:rPr>
              <w:t>Andrew M. Wright</w:t>
            </w:r>
          </w:p>
        </w:tc>
        <w:tc>
          <w:tcPr>
            <w:tcW w:w="178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color w:val="auto"/>
              </w:rPr>
              <w:t>Chief Administrative</w:t>
            </w:r>
          </w:p>
        </w:tc>
        <w:tc>
          <w:tcPr>
            <w:tcW w:w="1260" w:type="dxa"/>
            <w:vAlign w:val="bottom"/>
            <w:shd w:val="clear" w:color="auto" w:fill="E1E1E2"/>
          </w:tcPr>
          <w:p>
            <w:pPr>
              <w:jc w:val="center"/>
              <w:spacing w:after="0" w:line="142" w:lineRule="exact"/>
              <w:rPr>
                <w:sz w:val="20"/>
                <w:szCs w:val="20"/>
                <w:color w:val="auto"/>
              </w:rPr>
            </w:pPr>
            <w:r>
              <w:rPr>
                <w:rFonts w:ascii="Arial" w:cs="Arial" w:eastAsia="Arial" w:hAnsi="Arial"/>
                <w:sz w:val="14"/>
                <w:szCs w:val="14"/>
                <w:color w:val="auto"/>
              </w:rPr>
              <w:t>8/26/2026</w:t>
            </w:r>
          </w:p>
        </w:tc>
        <w:tc>
          <w:tcPr>
            <w:tcW w:w="80" w:type="dxa"/>
            <w:vAlign w:val="bottom"/>
            <w:shd w:val="clear" w:color="auto" w:fill="E1E1E2"/>
          </w:tcPr>
          <w:p>
            <w:pPr>
              <w:spacing w:after="0"/>
              <w:rPr>
                <w:sz w:val="12"/>
                <w:szCs w:val="12"/>
                <w:color w:val="auto"/>
              </w:rPr>
            </w:pPr>
          </w:p>
        </w:tc>
        <w:tc>
          <w:tcPr>
            <w:tcW w:w="200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color w:val="auto"/>
              </w:rPr>
              <w:t>Rule 10b5-1 Trading</w:t>
            </w:r>
          </w:p>
        </w:tc>
        <w:tc>
          <w:tcPr>
            <w:tcW w:w="216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color w:val="auto"/>
              </w:rPr>
              <w:t>Up to 45,000 shares to be sold</w:t>
            </w:r>
          </w:p>
        </w:tc>
        <w:tc>
          <w:tcPr>
            <w:tcW w:w="1120" w:type="dxa"/>
            <w:vAlign w:val="bottom"/>
            <w:shd w:val="clear" w:color="auto" w:fill="E1E1E2"/>
          </w:tcPr>
          <w:p>
            <w:pPr>
              <w:jc w:val="center"/>
              <w:spacing w:after="0" w:line="142" w:lineRule="exact"/>
              <w:rPr>
                <w:sz w:val="20"/>
                <w:szCs w:val="20"/>
                <w:color w:val="auto"/>
              </w:rPr>
            </w:pPr>
            <w:r>
              <w:rPr>
                <w:rFonts w:ascii="Arial" w:cs="Arial" w:eastAsia="Arial" w:hAnsi="Arial"/>
                <w:sz w:val="14"/>
                <w:szCs w:val="14"/>
                <w:color w:val="auto"/>
              </w:rPr>
              <w:t>11/30/2026 -</w:t>
            </w:r>
          </w:p>
        </w:tc>
        <w:tc>
          <w:tcPr>
            <w:tcW w:w="80" w:type="dxa"/>
            <w:vAlign w:val="bottom"/>
            <w:shd w:val="clear" w:color="auto" w:fill="E1E1E2"/>
          </w:tcPr>
          <w:p>
            <w:pPr>
              <w:spacing w:after="0"/>
              <w:rPr>
                <w:sz w:val="12"/>
                <w:szCs w:val="12"/>
                <w:color w:val="auto"/>
              </w:rPr>
            </w:pPr>
          </w:p>
        </w:tc>
        <w:tc>
          <w:tcPr>
            <w:tcW w:w="1100" w:type="dxa"/>
            <w:vAlign w:val="bottom"/>
            <w:shd w:val="clear" w:color="auto" w:fill="E1E1E2"/>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156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Officer</w:t>
            </w:r>
          </w:p>
        </w:tc>
        <w:tc>
          <w:tcPr>
            <w:tcW w:w="1260" w:type="dxa"/>
            <w:vAlign w:val="bottom"/>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2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Arrangement</w:t>
            </w:r>
          </w:p>
        </w:tc>
        <w:tc>
          <w:tcPr>
            <w:tcW w:w="206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12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05/28/2027</w:t>
            </w:r>
          </w:p>
        </w:tc>
        <w:tc>
          <w:tcPr>
            <w:tcW w:w="80" w:type="dxa"/>
            <w:vAlign w:val="bottom"/>
            <w:shd w:val="clear" w:color="auto" w:fill="E1E1E2"/>
          </w:tcPr>
          <w:p>
            <w:pPr>
              <w:spacing w:after="0"/>
              <w:rPr>
                <w:sz w:val="16"/>
                <w:szCs w:val="16"/>
                <w:color w:val="auto"/>
              </w:rPr>
            </w:pPr>
          </w:p>
        </w:tc>
        <w:tc>
          <w:tcPr>
            <w:tcW w:w="110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Brad L. Berryman</w:t>
            </w:r>
          </w:p>
        </w:tc>
        <w:tc>
          <w:tcPr>
            <w:tcW w:w="1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Chief Operating Officer</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8/18/2026</w:t>
            </w:r>
          </w:p>
        </w:tc>
        <w:tc>
          <w:tcPr>
            <w:tcW w:w="80" w:type="dxa"/>
            <w:vAlign w:val="bottom"/>
          </w:tcPr>
          <w:p>
            <w:pPr>
              <w:spacing w:after="0"/>
              <w:rPr>
                <w:sz w:val="12"/>
                <w:szCs w:val="12"/>
                <w:color w:val="auto"/>
              </w:rPr>
            </w:pPr>
          </w:p>
        </w:tc>
        <w:tc>
          <w:tcPr>
            <w:tcW w:w="2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Rule 10b5-1 Trading</w:t>
            </w:r>
          </w:p>
        </w:tc>
        <w:tc>
          <w:tcPr>
            <w:tcW w:w="21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Up to 56,091 shares to be sold</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11/17/2026 -</w:t>
            </w: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Arrangement</w:t>
            </w:r>
          </w:p>
        </w:tc>
        <w:tc>
          <w:tcPr>
            <w:tcW w:w="8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01/29/2027</w:t>
            </w:r>
          </w:p>
        </w:tc>
        <w:tc>
          <w:tcPr>
            <w:tcW w:w="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Potential sales may be subject to certain price limitations set forth in the 10b5-1 plans and therefore actual number of shares sold could vary if certain minimum stock prices are not met.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546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Date of Filing</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1080" w:type="dxa"/>
            <w:vAlign w:val="bottom"/>
            <w:gridSpan w:val="2"/>
            <w:vMerge w:val="continue"/>
          </w:tcPr>
          <w:p>
            <w:pPr>
              <w:spacing w:after="0"/>
              <w:rPr>
                <w:sz w:val="16"/>
                <w:szCs w:val="16"/>
                <w:color w:val="auto"/>
              </w:rPr>
            </w:pPr>
          </w:p>
        </w:tc>
        <w:tc>
          <w:tcPr>
            <w:tcW w:w="5460" w:type="dxa"/>
            <w:vAlign w:val="bottom"/>
            <w:gridSpan w:val="20"/>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75"/>
        </w:trPr>
        <w:tc>
          <w:tcPr>
            <w:tcW w:w="9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line="162" w:lineRule="exact"/>
              <w:rPr>
                <w:sz w:val="20"/>
                <w:szCs w:val="20"/>
                <w:color w:val="auto"/>
              </w:rPr>
            </w:pPr>
            <w:r>
              <w:rPr>
                <w:rFonts w:ascii="Arial" w:cs="Arial" w:eastAsia="Arial" w:hAnsi="Arial"/>
                <w:sz w:val="14"/>
                <w:szCs w:val="14"/>
                <w:color w:val="auto"/>
              </w:rPr>
              <w:t>2.1</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2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20"/>
            <w:shd w:val="clear" w:color="auto" w:fill="DBDBDB"/>
          </w:tcPr>
          <w:p>
            <w:pPr>
              <w:spacing w:after="0"/>
              <w:rPr>
                <w:rFonts w:ascii="Arial" w:cs="Arial" w:eastAsia="Arial" w:hAnsi="Arial"/>
                <w:sz w:val="14"/>
                <w:szCs w:val="14"/>
                <w:color w:val="0000FF"/>
              </w:rPr>
            </w:pPr>
            <w:hyperlink r:id="rId58">
              <w:r>
                <w:rPr>
                  <w:rFonts w:ascii="Arial" w:cs="Arial" w:eastAsia="Arial" w:hAnsi="Arial"/>
                  <w:sz w:val="14"/>
                  <w:szCs w:val="14"/>
                  <w:color w:val="0000FF"/>
                </w:rPr>
                <w:t>Agreement and Plan of Merger, dated as of January 15, 2026, by and among Talen</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February 26, 2026</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2"/>
        </w:trPr>
        <w:tc>
          <w:tcPr>
            <w:tcW w:w="960" w:type="dxa"/>
            <w:vAlign w:val="bottom"/>
            <w:tcBorders>
              <w:top w:val="single" w:sz="8" w:color="DBDBDB"/>
            </w:tcBorders>
            <w:shd w:val="clear" w:color="auto" w:fill="DBDBDB"/>
          </w:tcPr>
          <w:p>
            <w:pPr>
              <w:spacing w:after="0"/>
              <w:rPr>
                <w:sz w:val="10"/>
                <w:szCs w:val="10"/>
                <w:color w:val="auto"/>
              </w:rPr>
            </w:pPr>
          </w:p>
        </w:tc>
        <w:tc>
          <w:tcPr>
            <w:tcW w:w="120" w:type="dxa"/>
            <w:vAlign w:val="bottom"/>
            <w:tcBorders>
              <w:top w:val="single" w:sz="8" w:color="DBDBDB"/>
              <w:right w:val="single" w:sz="8" w:color="DBDBDB"/>
            </w:tcBorders>
            <w:shd w:val="clear" w:color="auto" w:fill="DBDBDB"/>
          </w:tcPr>
          <w:p>
            <w:pPr>
              <w:spacing w:after="0"/>
              <w:rPr>
                <w:sz w:val="10"/>
                <w:szCs w:val="10"/>
                <w:color w:val="auto"/>
              </w:rPr>
            </w:pPr>
          </w:p>
        </w:tc>
        <w:tc>
          <w:tcPr>
            <w:tcW w:w="5280" w:type="dxa"/>
            <w:vAlign w:val="bottom"/>
            <w:tcBorders>
              <w:top w:val="single" w:sz="8" w:color="0000FF"/>
            </w:tcBorders>
            <w:gridSpan w:val="13"/>
            <w:shd w:val="clear" w:color="auto" w:fill="DBDBDB"/>
          </w:tcPr>
          <w:p>
            <w:pPr>
              <w:spacing w:after="0" w:line="115" w:lineRule="exact"/>
              <w:rPr>
                <w:rFonts w:ascii="Arial" w:cs="Arial" w:eastAsia="Arial" w:hAnsi="Arial"/>
                <w:sz w:val="13"/>
                <w:szCs w:val="13"/>
                <w:color w:val="0000FF"/>
              </w:rPr>
            </w:pPr>
            <w:hyperlink r:id="rId58">
              <w:r>
                <w:rPr>
                  <w:rFonts w:ascii="Arial" w:cs="Arial" w:eastAsia="Arial" w:hAnsi="Arial"/>
                  <w:sz w:val="13"/>
                  <w:szCs w:val="13"/>
                  <w:color w:val="0000FF"/>
                </w:rPr>
                <w:t>Energy Corporation, Cornerstone Generation Holdings, LP, ECP Cornerstone</w:t>
              </w:r>
            </w:hyperlink>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gridSpan w:val="2"/>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tcBorders>
              <w:top w:val="single" w:sz="8" w:color="DBDBDB"/>
            </w:tcBorders>
            <w:shd w:val="clear" w:color="auto" w:fill="DBDBDB"/>
          </w:tcPr>
          <w:p>
            <w:pPr>
              <w:spacing w:after="0"/>
              <w:rPr>
                <w:sz w:val="10"/>
                <w:szCs w:val="10"/>
                <w:color w:val="auto"/>
              </w:rPr>
            </w:pPr>
          </w:p>
        </w:tc>
        <w:tc>
          <w:tcPr>
            <w:tcW w:w="120" w:type="dxa"/>
            <w:vAlign w:val="bottom"/>
            <w:tcBorders>
              <w:top w:val="single" w:sz="8" w:color="DBDBDB"/>
              <w:right w:val="single" w:sz="8" w:color="DBDBDB"/>
            </w:tcBorders>
            <w:shd w:val="clear" w:color="auto" w:fill="DBDBDB"/>
          </w:tcPr>
          <w:p>
            <w:pPr>
              <w:spacing w:after="0"/>
              <w:rPr>
                <w:sz w:val="10"/>
                <w:szCs w:val="10"/>
                <w:color w:val="auto"/>
              </w:rPr>
            </w:pPr>
          </w:p>
        </w:tc>
        <w:tc>
          <w:tcPr>
            <w:tcW w:w="4920" w:type="dxa"/>
            <w:vAlign w:val="bottom"/>
            <w:tcBorders>
              <w:top w:val="single" w:sz="8" w:color="0000FF"/>
            </w:tcBorders>
            <w:gridSpan w:val="10"/>
            <w:shd w:val="clear" w:color="auto" w:fill="DBDBDB"/>
          </w:tcPr>
          <w:p>
            <w:pPr>
              <w:spacing w:after="0" w:line="122" w:lineRule="exact"/>
              <w:rPr>
                <w:rFonts w:ascii="Arial" w:cs="Arial" w:eastAsia="Arial" w:hAnsi="Arial"/>
                <w:sz w:val="14"/>
                <w:szCs w:val="14"/>
                <w:color w:val="0000FF"/>
              </w:rPr>
            </w:pPr>
            <w:hyperlink r:id="rId58">
              <w:r>
                <w:rPr>
                  <w:rFonts w:ascii="Arial" w:cs="Arial" w:eastAsia="Arial" w:hAnsi="Arial"/>
                  <w:sz w:val="14"/>
                  <w:szCs w:val="14"/>
                  <w:color w:val="0000FF"/>
                </w:rPr>
                <w:t>Generation Holdings GP, LLC, ECP V-B (AG IP) Blocker Corp, ECP V-C (AG</w:t>
              </w:r>
            </w:hyperlink>
          </w:p>
        </w:tc>
        <w:tc>
          <w:tcPr>
            <w:tcW w:w="540" w:type="dxa"/>
            <w:vAlign w:val="bottom"/>
            <w:tcBorders>
              <w:top w:val="single" w:sz="8" w:color="DBDBDB"/>
            </w:tcBorders>
            <w:gridSpan w:val="10"/>
            <w:shd w:val="clear" w:color="auto" w:fill="DBDBDB"/>
          </w:tcPr>
          <w:p>
            <w:pPr>
              <w:jc w:val="center"/>
              <w:ind w:right="360"/>
              <w:spacing w:after="0" w:line="122" w:lineRule="exact"/>
              <w:rPr>
                <w:rFonts w:ascii="Arial" w:cs="Arial" w:eastAsia="Arial" w:hAnsi="Arial"/>
                <w:sz w:val="14"/>
                <w:szCs w:val="14"/>
                <w:color w:val="0000FF"/>
              </w:rPr>
            </w:pPr>
            <w:hyperlink r:id="rId58">
              <w:r>
                <w:rPr>
                  <w:rFonts w:ascii="Arial" w:cs="Arial" w:eastAsia="Arial" w:hAnsi="Arial"/>
                  <w:sz w:val="14"/>
                  <w:szCs w:val="14"/>
                  <w:color w:val="0000FF"/>
                </w:rPr>
                <w:t>IP)</w:t>
              </w:r>
            </w:hyperlink>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5100" w:type="dxa"/>
            <w:vAlign w:val="bottom"/>
            <w:tcBorders>
              <w:top w:val="single" w:sz="8" w:color="0000FF"/>
              <w:bottom w:val="single" w:sz="8" w:color="0000FF"/>
            </w:tcBorders>
            <w:gridSpan w:val="11"/>
            <w:shd w:val="clear" w:color="auto" w:fill="DBDBDB"/>
          </w:tcPr>
          <w:p>
            <w:pPr>
              <w:spacing w:after="0" w:line="129" w:lineRule="exact"/>
              <w:rPr>
                <w:rFonts w:ascii="Arial" w:cs="Arial" w:eastAsia="Arial" w:hAnsi="Arial"/>
                <w:sz w:val="14"/>
                <w:szCs w:val="14"/>
                <w:color w:val="0000FF"/>
                <w:w w:val="97"/>
              </w:rPr>
            </w:pPr>
            <w:hyperlink r:id="rId58">
              <w:r>
                <w:rPr>
                  <w:rFonts w:ascii="Arial" w:cs="Arial" w:eastAsia="Arial" w:hAnsi="Arial"/>
                  <w:sz w:val="14"/>
                  <w:szCs w:val="14"/>
                  <w:color w:val="0000FF"/>
                  <w:w w:val="97"/>
                </w:rPr>
                <w:t>Blocker Corp, ECP V-D (AG IP) Blocker Corp, ECP V-D, as a holder representative,</w:t>
              </w:r>
            </w:hyperlink>
          </w:p>
        </w:tc>
        <w:tc>
          <w:tcPr>
            <w:tcW w:w="140" w:type="dxa"/>
            <w:vAlign w:val="bottom"/>
            <w:tcBorders>
              <w:top w:val="single" w:sz="8" w:color="DBDBDB"/>
              <w:bottom w:val="single" w:sz="8" w:color="0000FF"/>
            </w:tcBorders>
            <w:shd w:val="clear" w:color="auto" w:fill="DBDBDB"/>
          </w:tcPr>
          <w:p>
            <w:pPr>
              <w:spacing w:after="0"/>
              <w:rPr>
                <w:sz w:val="11"/>
                <w:szCs w:val="11"/>
                <w:color w:val="auto"/>
              </w:rPr>
            </w:pPr>
          </w:p>
        </w:tc>
        <w:tc>
          <w:tcPr>
            <w:tcW w:w="60" w:type="dxa"/>
            <w:vAlign w:val="bottom"/>
            <w:tcBorders>
              <w:top w:val="single" w:sz="8" w:color="DBDBDB"/>
              <w:bottom w:val="single" w:sz="8" w:color="0000FF"/>
            </w:tcBorders>
            <w:gridSpan w:val="2"/>
            <w:shd w:val="clear" w:color="auto" w:fill="DBDBDB"/>
          </w:tcPr>
          <w:p>
            <w:pPr>
              <w:spacing w:after="0"/>
              <w:rPr>
                <w:sz w:val="11"/>
                <w:szCs w:val="11"/>
                <w:color w:val="auto"/>
              </w:rPr>
            </w:pPr>
          </w:p>
        </w:tc>
        <w:tc>
          <w:tcPr>
            <w:tcW w:w="20" w:type="dxa"/>
            <w:vAlign w:val="bottom"/>
            <w:tcBorders>
              <w:top w:val="single" w:sz="8" w:color="DBDBDB"/>
              <w:bottom w:val="single" w:sz="8" w:color="0000FF"/>
            </w:tcBorders>
            <w:shd w:val="clear" w:color="auto" w:fill="DBDBDB"/>
          </w:tcPr>
          <w:p>
            <w:pPr>
              <w:spacing w:after="0"/>
              <w:rPr>
                <w:sz w:val="11"/>
                <w:szCs w:val="11"/>
                <w:color w:val="auto"/>
              </w:rPr>
            </w:pPr>
          </w:p>
        </w:tc>
        <w:tc>
          <w:tcPr>
            <w:tcW w:w="20" w:type="dxa"/>
            <w:vAlign w:val="bottom"/>
            <w:tcBorders>
              <w:top w:val="single" w:sz="8" w:color="DBDBDB"/>
              <w:bottom w:val="single" w:sz="8" w:color="0000FF"/>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88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shd w:val="clear" w:color="auto" w:fill="DBDBDB"/>
          </w:tcPr>
          <w:p>
            <w:pPr>
              <w:spacing w:after="0"/>
              <w:rPr>
                <w:sz w:val="11"/>
                <w:szCs w:val="11"/>
                <w:color w:val="auto"/>
              </w:rPr>
            </w:pPr>
          </w:p>
        </w:tc>
        <w:tc>
          <w:tcPr>
            <w:tcW w:w="120" w:type="dxa"/>
            <w:vAlign w:val="bottom"/>
            <w:tcBorders>
              <w:right w:val="single" w:sz="8" w:color="DBDBDB"/>
            </w:tcBorders>
            <w:shd w:val="clear" w:color="auto" w:fill="DBDBDB"/>
          </w:tcPr>
          <w:p>
            <w:pPr>
              <w:spacing w:after="0"/>
              <w:rPr>
                <w:sz w:val="11"/>
                <w:szCs w:val="11"/>
                <w:color w:val="auto"/>
              </w:rPr>
            </w:pPr>
          </w:p>
        </w:tc>
        <w:tc>
          <w:tcPr>
            <w:tcW w:w="5340" w:type="dxa"/>
            <w:vAlign w:val="bottom"/>
            <w:gridSpan w:val="16"/>
            <w:shd w:val="clear" w:color="auto" w:fill="DBDBDB"/>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and solely for the limited purposes set forth therein, ECP GP V, LP.</w:t>
              </w:r>
            </w:hyperlink>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gridSpan w:val="2"/>
            <w:shd w:val="clear" w:color="auto" w:fill="DBDBDB"/>
          </w:tcPr>
          <w:p>
            <w:pPr>
              <w:spacing w:after="0"/>
              <w:rPr>
                <w:sz w:val="11"/>
                <w:szCs w:val="11"/>
                <w:color w:val="auto"/>
              </w:rPr>
            </w:pPr>
          </w:p>
        </w:tc>
        <w:tc>
          <w:tcPr>
            <w:tcW w:w="8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5460" w:type="dxa"/>
            <w:vAlign w:val="bottom"/>
            <w:gridSpan w:val="20"/>
          </w:tcPr>
          <w:p>
            <w:pPr>
              <w:spacing w:after="0"/>
              <w:rPr>
                <w:rFonts w:ascii="Arial" w:cs="Arial" w:eastAsia="Arial" w:hAnsi="Arial"/>
                <w:sz w:val="14"/>
                <w:szCs w:val="14"/>
                <w:color w:val="0000FF"/>
              </w:rPr>
            </w:pPr>
            <w:hyperlink r:id="rId59">
              <w:r>
                <w:rPr>
                  <w:rFonts w:ascii="Arial" w:cs="Arial" w:eastAsia="Arial" w:hAnsi="Arial"/>
                  <w:sz w:val="14"/>
                  <w:szCs w:val="14"/>
                  <w:color w:val="0000FF"/>
                </w:rPr>
                <w:t>Third Amended and Restated Certificate of Incorporation of Talen Energy</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Corporation.</w:t>
              </w:r>
            </w:hyperlink>
          </w:p>
        </w:tc>
        <w:tc>
          <w:tcPr>
            <w:tcW w:w="384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20"/>
            <w:shd w:val="clear" w:color="auto" w:fill="DBDBDB"/>
          </w:tcPr>
          <w:p>
            <w:pPr>
              <w:spacing w:after="0"/>
              <w:rPr>
                <w:rFonts w:ascii="Arial" w:cs="Arial" w:eastAsia="Arial" w:hAnsi="Arial"/>
                <w:sz w:val="14"/>
                <w:szCs w:val="14"/>
                <w:color w:val="0000FF"/>
              </w:rPr>
            </w:pPr>
            <w:hyperlink r:id="rId60">
              <w:r>
                <w:rPr>
                  <w:rFonts w:ascii="Arial" w:cs="Arial" w:eastAsia="Arial" w:hAnsi="Arial"/>
                  <w:sz w:val="14"/>
                  <w:szCs w:val="14"/>
                  <w:color w:val="0000FF"/>
                </w:rPr>
                <w:t>Second Amended and Restated Bylaws of Talen Energy Corporation</w:t>
              </w:r>
            </w:hyperlink>
            <w:r>
              <w:rPr>
                <w:rFonts w:ascii="Arial" w:cs="Arial" w:eastAsia="Arial" w:hAnsi="Arial"/>
                <w:sz w:val="14"/>
                <w:szCs w:val="14"/>
                <w:color w:val="000000"/>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0000FF"/>
            </w:tcBorders>
            <w:shd w:val="clear" w:color="auto" w:fill="DBDBDB"/>
          </w:tcPr>
          <w:p>
            <w:pPr>
              <w:spacing w:after="0" w:line="20" w:lineRule="exact"/>
              <w:rPr>
                <w:sz w:val="1"/>
                <w:szCs w:val="1"/>
                <w:color w:val="auto"/>
              </w:rPr>
            </w:pPr>
          </w:p>
        </w:tc>
        <w:tc>
          <w:tcPr>
            <w:tcW w:w="1860" w:type="dxa"/>
            <w:vAlign w:val="bottom"/>
            <w:tcBorders>
              <w:top w:val="single" w:sz="8" w:color="0000FF"/>
            </w:tcBorders>
            <w:shd w:val="clear" w:color="auto" w:fill="DBDBDB"/>
          </w:tcPr>
          <w:p>
            <w:pPr>
              <w:spacing w:after="0" w:line="20" w:lineRule="exact"/>
              <w:rPr>
                <w:sz w:val="1"/>
                <w:szCs w:val="1"/>
                <w:color w:val="auto"/>
              </w:rPr>
            </w:pPr>
          </w:p>
        </w:tc>
        <w:tc>
          <w:tcPr>
            <w:tcW w:w="78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gridSpan w:val="2"/>
          </w:tcPr>
          <w:p>
            <w:pPr>
              <w:ind w:left="20"/>
              <w:spacing w:after="0" w:line="162" w:lineRule="exact"/>
              <w:rPr>
                <w:sz w:val="20"/>
                <w:szCs w:val="20"/>
                <w:color w:val="auto"/>
              </w:rPr>
            </w:pPr>
            <w:r>
              <w:rPr>
                <w:rFonts w:ascii="Arial" w:cs="Arial" w:eastAsia="Arial" w:hAnsi="Arial"/>
                <w:sz w:val="14"/>
                <w:szCs w:val="14"/>
                <w:color w:val="auto"/>
              </w:rPr>
              <w:t>10.1</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5460" w:type="dxa"/>
            <w:vAlign w:val="bottom"/>
            <w:gridSpan w:val="20"/>
          </w:tcPr>
          <w:p>
            <w:pPr>
              <w:spacing w:after="0"/>
              <w:rPr>
                <w:rFonts w:ascii="Arial" w:cs="Arial" w:eastAsia="Arial" w:hAnsi="Arial"/>
                <w:sz w:val="14"/>
                <w:szCs w:val="14"/>
                <w:color w:val="0000FF"/>
              </w:rPr>
            </w:pPr>
            <w:hyperlink r:id="rId61">
              <w:r>
                <w:rPr>
                  <w:rFonts w:ascii="Arial" w:cs="Arial" w:eastAsia="Arial" w:hAnsi="Arial"/>
                  <w:sz w:val="14"/>
                  <w:szCs w:val="14"/>
                  <w:color w:val="0000FF"/>
                </w:rPr>
                <w:t>Second Amended and Restated Employment Agreement, effective January 1, 2027,</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September 29, 2026</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8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by and between Talen Energy Corporation and Terry L. Nutt.</w:t>
              </w:r>
            </w:hyperlink>
          </w:p>
        </w:tc>
        <w:tc>
          <w:tcPr>
            <w:tcW w:w="8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right w:val="single" w:sz="8" w:color="DBDBDB"/>
            </w:tcBorders>
            <w:gridSpan w:val="2"/>
            <w:shd w:val="clear" w:color="auto" w:fill="DBDBDB"/>
          </w:tcPr>
          <w:p>
            <w:pPr>
              <w:ind w:left="20"/>
              <w:spacing w:after="0" w:line="162" w:lineRule="exact"/>
              <w:rPr>
                <w:sz w:val="20"/>
                <w:szCs w:val="20"/>
                <w:color w:val="auto"/>
              </w:rPr>
            </w:pPr>
            <w:r>
              <w:rPr>
                <w:rFonts w:ascii="Arial" w:cs="Arial" w:eastAsia="Arial" w:hAnsi="Arial"/>
                <w:sz w:val="14"/>
                <w:szCs w:val="14"/>
                <w:color w:val="auto"/>
              </w:rPr>
              <w:t>10.2</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5460" w:type="dxa"/>
            <w:vAlign w:val="bottom"/>
            <w:gridSpan w:val="20"/>
            <w:shd w:val="clear" w:color="auto" w:fill="DBDBDB"/>
          </w:tcPr>
          <w:p>
            <w:pPr>
              <w:spacing w:after="0"/>
              <w:rPr>
                <w:rFonts w:ascii="Arial" w:cs="Arial" w:eastAsia="Arial" w:hAnsi="Arial"/>
                <w:sz w:val="14"/>
                <w:szCs w:val="14"/>
                <w:color w:val="0000FF"/>
              </w:rPr>
            </w:pPr>
            <w:hyperlink r:id="rId62">
              <w:r>
                <w:rPr>
                  <w:rFonts w:ascii="Arial" w:cs="Arial" w:eastAsia="Arial" w:hAnsi="Arial"/>
                  <w:sz w:val="14"/>
                  <w:szCs w:val="14"/>
                  <w:color w:val="0000FF"/>
                </w:rPr>
                <w:t>Transition and Retirement Agreement and Release of Claims, dated as of</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September 29, 2026</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28"/>
        </w:trPr>
        <w:tc>
          <w:tcPr>
            <w:tcW w:w="96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DBDBDB"/>
              <w:right w:val="single" w:sz="8" w:color="DBDBDB"/>
            </w:tcBorders>
            <w:shd w:val="clear" w:color="auto" w:fill="DBDBDB"/>
          </w:tcPr>
          <w:p>
            <w:pPr>
              <w:spacing w:after="0"/>
              <w:rPr>
                <w:sz w:val="11"/>
                <w:szCs w:val="11"/>
                <w:color w:val="auto"/>
              </w:rPr>
            </w:pPr>
          </w:p>
        </w:tc>
        <w:tc>
          <w:tcPr>
            <w:tcW w:w="4680" w:type="dxa"/>
            <w:vAlign w:val="bottom"/>
            <w:tcBorders>
              <w:top w:val="single" w:sz="8" w:color="0000FF"/>
            </w:tcBorders>
            <w:gridSpan w:val="9"/>
            <w:shd w:val="clear" w:color="auto" w:fill="DBDBDB"/>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September 28, 2026, by and between Talen Energy Corporation and Mark</w:t>
              </w:r>
            </w:hyperlink>
          </w:p>
        </w:tc>
        <w:tc>
          <w:tcPr>
            <w:tcW w:w="780" w:type="dxa"/>
            <w:vAlign w:val="bottom"/>
            <w:tcBorders>
              <w:top w:val="single" w:sz="8" w:color="DBDBDB"/>
            </w:tcBorders>
            <w:gridSpan w:val="11"/>
            <w:shd w:val="clear" w:color="auto" w:fill="DBDBDB"/>
          </w:tcPr>
          <w:p>
            <w:pPr>
              <w:jc w:val="center"/>
              <w:ind w:right="100"/>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“Mac” A.</w:t>
              </w:r>
            </w:hyperlink>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720" w:type="dxa"/>
            <w:vAlign w:val="bottom"/>
            <w:tcBorders>
              <w:top w:val="single" w:sz="8" w:color="0000FF"/>
              <w:bottom w:val="single" w:sz="8" w:color="0000FF"/>
            </w:tcBorders>
            <w:shd w:val="clear" w:color="auto" w:fill="DBDBDB"/>
          </w:tcPr>
          <w:p>
            <w:pPr>
              <w:spacing w:after="0" w:line="115" w:lineRule="exact"/>
              <w:rPr>
                <w:rFonts w:ascii="Arial" w:cs="Arial" w:eastAsia="Arial" w:hAnsi="Arial"/>
                <w:sz w:val="13"/>
                <w:szCs w:val="13"/>
                <w:color w:val="0000FF"/>
              </w:rPr>
            </w:pPr>
            <w:hyperlink r:id="rId62">
              <w:r>
                <w:rPr>
                  <w:rFonts w:ascii="Arial" w:cs="Arial" w:eastAsia="Arial" w:hAnsi="Arial"/>
                  <w:sz w:val="13"/>
                  <w:szCs w:val="13"/>
                  <w:color w:val="0000FF"/>
                </w:rPr>
                <w:t>McFarland.</w:t>
              </w:r>
            </w:hyperlink>
          </w:p>
        </w:tc>
        <w:tc>
          <w:tcPr>
            <w:tcW w:w="4580" w:type="dxa"/>
            <w:vAlign w:val="bottom"/>
            <w:tcBorders>
              <w:top w:val="single" w:sz="8" w:color="0000FF"/>
              <w:bottom w:val="single" w:sz="8" w:color="DBDBDB"/>
            </w:tcBorders>
            <w:gridSpan w:val="13"/>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10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88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4"/>
                <w:szCs w:val="14"/>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0000FF"/>
              </w:rPr>
              <w:t>Certification of Principal Executive Officer pursuant to Section 302 of the Sarbanes-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top w:val="single" w:sz="8" w:color="0000FF"/>
              <w:bottom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Oxley Act of 2002.</w:t>
            </w:r>
          </w:p>
        </w:tc>
        <w:tc>
          <w:tcPr>
            <w:tcW w:w="1860" w:type="dxa"/>
            <w:vAlign w:val="bottom"/>
            <w:tcBorders>
              <w:top w:val="single" w:sz="8" w:color="0000FF"/>
            </w:tcBorders>
          </w:tcPr>
          <w:p>
            <w:pPr>
              <w:spacing w:after="0"/>
              <w:rPr>
                <w:sz w:val="11"/>
                <w:szCs w:val="11"/>
                <w:color w:val="auto"/>
              </w:rPr>
            </w:pPr>
          </w:p>
        </w:tc>
        <w:tc>
          <w:tcPr>
            <w:tcW w:w="2200" w:type="dxa"/>
            <w:vAlign w:val="bottom"/>
            <w:tcBorders>
              <w:top w:val="single" w:sz="8" w:color="0000FF"/>
            </w:tcBorders>
            <w:gridSpan w:val="8"/>
          </w:tcPr>
          <w:p>
            <w:pPr>
              <w:spacing w:after="0"/>
              <w:rPr>
                <w:sz w:val="11"/>
                <w:szCs w:val="11"/>
                <w:color w:val="auto"/>
              </w:rPr>
            </w:pPr>
          </w:p>
        </w:tc>
        <w:tc>
          <w:tcPr>
            <w:tcW w:w="80" w:type="dxa"/>
            <w:vAlign w:val="bottom"/>
            <w:tcBorders>
              <w:top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31.2*</w:t>
            </w:r>
          </w:p>
        </w:tc>
        <w:tc>
          <w:tcPr>
            <w:tcW w:w="120" w:type="dxa"/>
            <w:vAlign w:val="bottom"/>
            <w:tcBorders>
              <w:right w:val="single" w:sz="8" w:color="DBDBDB"/>
            </w:tcBorders>
            <w:shd w:val="clear" w:color="auto" w:fill="DBDBDB"/>
          </w:tcPr>
          <w:p>
            <w:pPr>
              <w:spacing w:after="0"/>
              <w:rPr>
                <w:sz w:val="14"/>
                <w:szCs w:val="14"/>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0000FF"/>
              </w:rPr>
              <w:t>Certification of Principal Financial Officer pursuant to Section 302 of the Sarbanes-</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1180" w:type="dxa"/>
            <w:vAlign w:val="bottom"/>
            <w:tcBorders>
              <w:top w:val="single" w:sz="8" w:color="0000FF"/>
              <w:bottom w:val="single" w:sz="8" w:color="0000FF"/>
            </w:tcBorders>
            <w:gridSpan w:val="3"/>
            <w:shd w:val="clear" w:color="auto" w:fill="DBDBDB"/>
          </w:tcPr>
          <w:p>
            <w:pPr>
              <w:spacing w:after="0" w:line="129" w:lineRule="exact"/>
              <w:rPr>
                <w:sz w:val="20"/>
                <w:szCs w:val="20"/>
                <w:color w:val="auto"/>
              </w:rPr>
            </w:pPr>
            <w:r>
              <w:rPr>
                <w:rFonts w:ascii="Arial" w:cs="Arial" w:eastAsia="Arial" w:hAnsi="Arial"/>
                <w:sz w:val="14"/>
                <w:szCs w:val="14"/>
                <w:color w:val="0000FF"/>
              </w:rPr>
              <w:t>Oxley Act of 2002.</w:t>
            </w:r>
          </w:p>
        </w:tc>
        <w:tc>
          <w:tcPr>
            <w:tcW w:w="4060" w:type="dxa"/>
            <w:vAlign w:val="bottom"/>
            <w:tcBorders>
              <w:top w:val="single" w:sz="8" w:color="0000FF"/>
              <w:bottom w:val="single" w:sz="8" w:color="DBDBDB"/>
            </w:tcBorders>
            <w:gridSpan w:val="9"/>
            <w:shd w:val="clear" w:color="auto" w:fill="DBDBDB"/>
          </w:tcPr>
          <w:p>
            <w:pPr>
              <w:spacing w:after="0"/>
              <w:rPr>
                <w:sz w:val="11"/>
                <w:szCs w:val="11"/>
                <w:color w:val="auto"/>
              </w:rPr>
            </w:pPr>
          </w:p>
        </w:tc>
        <w:tc>
          <w:tcPr>
            <w:tcW w:w="120" w:type="dxa"/>
            <w:vAlign w:val="bottom"/>
            <w:tcBorders>
              <w:top w:val="single" w:sz="8" w:color="DBDBDB"/>
              <w:bottom w:val="single" w:sz="8" w:color="DBDBDB"/>
            </w:tcBorders>
            <w:gridSpan w:val="5"/>
            <w:shd w:val="clear" w:color="auto" w:fill="DBDBDB"/>
          </w:tcPr>
          <w:p>
            <w:pPr>
              <w:spacing w:after="0"/>
              <w:rPr>
                <w:sz w:val="11"/>
                <w:szCs w:val="11"/>
                <w:color w:val="auto"/>
              </w:rPr>
            </w:pPr>
          </w:p>
        </w:tc>
        <w:tc>
          <w:tcPr>
            <w:tcW w:w="10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88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4"/>
                <w:szCs w:val="14"/>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0000FF"/>
              </w:rPr>
              <w:t>Certification of Principal Executive Officer and Principal Financial Officer pursuant to</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Section 906 of the Sarbanes-Oxley Act of 2002.</w:t>
            </w:r>
          </w:p>
        </w:tc>
        <w:tc>
          <w:tcPr>
            <w:tcW w:w="2320" w:type="dxa"/>
            <w:vAlign w:val="bottom"/>
            <w:tcBorders>
              <w:top w:val="single" w:sz="8" w:color="0000FF"/>
            </w:tcBorders>
            <w:gridSpan w:val="13"/>
          </w:tcPr>
          <w:p>
            <w:pPr>
              <w:spacing w:after="0"/>
              <w:rPr>
                <w:sz w:val="11"/>
                <w:szCs w:val="11"/>
                <w:color w:val="auto"/>
              </w:rPr>
            </w:pPr>
          </w:p>
        </w:tc>
        <w:tc>
          <w:tcPr>
            <w:tcW w:w="10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101.INS*</w:t>
            </w: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Inline XBRL Instance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5460" w:type="dxa"/>
            <w:vAlign w:val="bottom"/>
            <w:gridSpan w:val="20"/>
          </w:tcPr>
          <w:p>
            <w:pPr>
              <w:spacing w:after="0"/>
              <w:rPr>
                <w:sz w:val="20"/>
                <w:szCs w:val="20"/>
                <w:color w:val="auto"/>
              </w:rPr>
            </w:pPr>
            <w:r>
              <w:rPr>
                <w:rFonts w:ascii="Arial" w:cs="Arial" w:eastAsia="Arial" w:hAnsi="Arial"/>
                <w:sz w:val="14"/>
                <w:szCs w:val="14"/>
                <w:color w:val="auto"/>
              </w:rPr>
              <w:t>Inline XBRL Taxonomy Extension Schema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101.CAL*</w:t>
            </w: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5460" w:type="dxa"/>
            <w:vAlign w:val="bottom"/>
            <w:gridSpan w:val="2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80" w:type="dxa"/>
            <w:vAlign w:val="bottom"/>
            <w:tcBorders>
              <w:right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101.LAB*</w:t>
            </w: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5460" w:type="dxa"/>
            <w:vAlign w:val="bottom"/>
            <w:gridSpan w:val="2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104*</w:t>
            </w:r>
          </w:p>
        </w:tc>
        <w:tc>
          <w:tcPr>
            <w:tcW w:w="120" w:type="dxa"/>
            <w:vAlign w:val="bottom"/>
            <w:tcBorders>
              <w:right w:val="single" w:sz="8" w:color="DBDBDB"/>
            </w:tcBorders>
            <w:shd w:val="clear" w:color="auto" w:fill="DBDBDB"/>
          </w:tcPr>
          <w:p>
            <w:pPr>
              <w:spacing w:after="0"/>
              <w:rPr>
                <w:sz w:val="17"/>
                <w:szCs w:val="17"/>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4"/>
        </w:trPr>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Filed herewith.</w:t>
      </w:r>
    </w:p>
    <w:p>
      <w:pPr>
        <w:ind w:left="240" w:hanging="232"/>
        <w:spacing w:after="0" w:line="237" w:lineRule="auto"/>
        <w:tabs>
          <w:tab w:leader="none" w:pos="2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Furnished herewith.</w:t>
      </w:r>
    </w:p>
    <w:p>
      <w:pPr>
        <w:ind w:left="340" w:right="220" w:hanging="332"/>
        <w:spacing w:after="0" w:line="213" w:lineRule="auto"/>
        <w:tabs>
          <w:tab w:leader="none" w:pos="152"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Certain of the schedules and attachments to the exhibit have been omitted pursuant to Item 601(a)(5) of Regulation S-K. A copy of any omitted schedule or attachment will be furnished to the SEC upon request.</w:t>
      </w:r>
    </w:p>
    <w:p>
      <w:pPr>
        <w:ind w:left="140" w:hanging="132"/>
        <w:spacing w:after="0" w:line="195" w:lineRule="auto"/>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3"/>
          <w:szCs w:val="13"/>
          <w:color w:val="auto"/>
        </w:rPr>
        <w:t>Certain private and immaterial portions of the exhibit have been redacted pursuant to Item 601(a)(6) of Regulation S-K.</w:t>
      </w:r>
    </w:p>
    <w:p>
      <w:pPr>
        <w:ind w:left="160" w:hanging="152"/>
        <w:spacing w:after="0" w:line="219" w:lineRule="auto"/>
        <w:tabs>
          <w:tab w:leader="none" w:pos="160"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Management contract or compensatory plan or arrangement.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w:t>
      </w:r>
    </w:p>
    <w:p>
      <w:pPr>
        <w:spacing w:after="0" w:line="1" w:lineRule="exact"/>
        <w:rPr>
          <w:sz w:val="20"/>
          <w:szCs w:val="20"/>
          <w:color w:val="auto"/>
        </w:rPr>
      </w:pPr>
    </w:p>
    <w:p>
      <w:pPr>
        <w:ind w:firstLine="8"/>
        <w:spacing w:after="0" w:line="258" w:lineRule="auto"/>
        <w:tabs>
          <w:tab w:leader="none" w:pos="27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spacing w:after="0" w:line="13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2025 and December 31, 2024; the related audited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statements of operations, statements of comprehensive income, statements of cash flows, and statements of equity for the years ended December 31, 2025 and December 31, 2024, for the period from May 18, 2023 through December 31, 2023, and for the period from January 1, 2023 through May 17, 2023; and the related notes included in the Company’s Annual Report on Form 10-K filed with the SEC on February 26, 2026.</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ASR. </w:t>
      </w:r>
      <w:r>
        <w:rPr>
          <w:rFonts w:ascii="Arial" w:cs="Arial" w:eastAsia="Arial" w:hAnsi="Arial"/>
          <w:sz w:val="16"/>
          <w:szCs w:val="16"/>
          <w:color w:val="auto"/>
        </w:rPr>
        <w:t>Accelerated share repurchase.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67"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b w:val="1"/>
          <w:bCs w:val="1"/>
          <w:i w:val="1"/>
          <w:iCs w:val="1"/>
          <w:color w:val="auto"/>
        </w:rPr>
        <w:t xml:space="preserve">Capacity Performance. </w:t>
      </w:r>
      <w:r>
        <w:rPr>
          <w:rFonts w:ascii="Arial" w:cs="Arial" w:eastAsia="Arial" w:hAnsi="Arial"/>
          <w:sz w:val="16"/>
          <w:szCs w:val="16"/>
          <w:color w:val="auto"/>
        </w:rPr>
        <w:t>The sole class of capacity product that electricity providers within PJM can offer to satisfy PJM’s capacity obligation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thereby receive capacity payments from PJM. Auctions for this opportunity, generally referred to as capacity auctions, are scheduled by PJM periodically, up to three years in advance of the applicable PJM Capacity Year and in accordance with the terms of PJM’s Tariff and the FERC’s orders. Capacity Performance providers assume higher performance requirements during system emergencies and are subject to penalties for non-performance.</w:t>
      </w:r>
    </w:p>
    <w:p>
      <w:pPr>
        <w:spacing w:after="0" w:line="132"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102"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undivided interest in Colstrip Unit 3, and has an economic interest in Colstrip Unit 4. Colstrip Units 1 and 2 were permanently retired in January 2020. See Note 7 to the Annual Financial Statements for additional information on jointly owned facilities and Talen Montana’s ownership interests in Colstrip.</w:t>
      </w:r>
    </w:p>
    <w:p>
      <w:pPr>
        <w:spacing w:after="0" w:line="124"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b w:val="1"/>
          <w:bCs w:val="1"/>
          <w:i w:val="1"/>
          <w:iCs w:val="1"/>
          <w:color w:val="auto"/>
        </w:rPr>
        <w:t xml:space="preserve">Cornerstone Acquisition. </w:t>
      </w:r>
      <w:r>
        <w:rPr>
          <w:rFonts w:ascii="Arial" w:cs="Arial" w:eastAsia="Arial" w:hAnsi="Arial"/>
          <w:sz w:val="16"/>
          <w:szCs w:val="16"/>
          <w:color w:val="auto"/>
        </w:rPr>
        <w:t>Our acquisition of Waterford (Waterford Township, Ohio), Darby (Mount Sterling, Ohio), and Lawrenceburg (Lawrenceburg,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Indiana) generation facilities from affiliates of Energy Capital Partners, which closed in June 2026. See Note 17 to the Interim Financial Statements for additional information.</w:t>
      </w:r>
    </w:p>
    <w:p>
      <w:pPr>
        <w:spacing w:after="0" w:line="131"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TLB-1, TLB-2, TLB-3, and LCF, as the same may be amended, amended and restated, supplemented, or otherwise modified from time to time.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Credit Facilities. </w:t>
      </w:r>
      <w:r>
        <w:rPr>
          <w:rFonts w:ascii="Arial" w:cs="Arial" w:eastAsia="Arial" w:hAnsi="Arial"/>
          <w:sz w:val="16"/>
          <w:szCs w:val="16"/>
          <w:color w:val="auto"/>
        </w:rPr>
        <w:t>Collectively, the RCF, TLB-1, TLB-2, TLB-3 and LCF.</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DOE. </w:t>
      </w:r>
      <w:r>
        <w:rPr>
          <w:rFonts w:ascii="Arial" w:cs="Arial" w:eastAsia="Arial" w:hAnsi="Arial"/>
          <w:sz w:val="16"/>
          <w:szCs w:val="16"/>
          <w:color w:val="auto"/>
        </w:rPr>
        <w:t>U.S. Department of Energy.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167" w:lineRule="exact"/>
        <w:rPr>
          <w:sz w:val="20"/>
          <w:szCs w:val="20"/>
          <w:color w:val="auto"/>
        </w:rPr>
      </w:pPr>
    </w:p>
    <w:p>
      <w:pPr>
        <w:ind w:right="5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CCR Rule. </w:t>
      </w:r>
      <w:r>
        <w:rPr>
          <w:rFonts w:ascii="Arial" w:cs="Arial" w:eastAsia="Arial" w:hAnsi="Arial"/>
          <w:sz w:val="16"/>
          <w:szCs w:val="16"/>
          <w:color w:val="auto"/>
        </w:rPr>
        <w:t>The national regulatory standards required by the EPA for the management of coal combustion residuals in landfills and surface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impoundments.</w:t>
      </w:r>
    </w:p>
    <w:p>
      <w:pPr>
        <w:spacing w:after="0" w:line="115"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b w:val="1"/>
          <w:bCs w:val="1"/>
          <w:i w:val="1"/>
          <w:iCs w:val="1"/>
          <w:color w:val="auto"/>
        </w:rPr>
        <w:t xml:space="preserve">EPA CSAPR. </w:t>
      </w:r>
      <w:r>
        <w:rPr>
          <w:rFonts w:ascii="Arial" w:cs="Arial" w:eastAsia="Arial" w:hAnsi="Arial"/>
          <w:sz w:val="16"/>
          <w:szCs w:val="16"/>
          <w:color w:val="auto"/>
        </w:rPr>
        <w:t>The Cross-State Air Pollution Rule, a federal program that aims to reduce power plant emissions that cross state lines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ELG Rule. </w:t>
      </w:r>
      <w:r>
        <w:rPr>
          <w:rFonts w:ascii="Arial" w:cs="Arial" w:eastAsia="Arial" w:hAnsi="Arial"/>
          <w:sz w:val="16"/>
          <w:szCs w:val="16"/>
          <w:color w:val="auto"/>
        </w:rPr>
        <w:t>The effluent limitation guidelines, which are national regulatory standards required by the EPA for wastewater discharged from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categories, including but not limited to coal-fired electric generation facilities, to surface waters and municipal sewage treatment plants.</w:t>
      </w:r>
    </w:p>
    <w:p>
      <w:pPr>
        <w:spacing w:after="0" w:line="11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GHG Rule. </w:t>
      </w:r>
      <w:r>
        <w:rPr>
          <w:rFonts w:ascii="Arial" w:cs="Arial" w:eastAsia="Arial" w:hAnsi="Arial"/>
          <w:sz w:val="16"/>
          <w:szCs w:val="16"/>
          <w:color w:val="auto"/>
        </w:rPr>
        <w:t>An EPA rule that establishes carbon dioxide limits for new electric generating units and GHG guidelines for certain existing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generating units.</w:t>
      </w:r>
    </w:p>
    <w:p>
      <w:pPr>
        <w:spacing w:after="0" w:line="115" w:lineRule="exact"/>
        <w:rPr>
          <w:sz w:val="20"/>
          <w:szCs w:val="20"/>
          <w:color w:val="auto"/>
        </w:rPr>
      </w:pPr>
    </w:p>
    <w:p>
      <w:pPr>
        <w:ind w:right="6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MATS Rule. </w:t>
      </w:r>
      <w:r>
        <w:rPr>
          <w:rFonts w:ascii="Arial" w:cs="Arial" w:eastAsia="Arial" w:hAnsi="Arial"/>
          <w:sz w:val="16"/>
          <w:szCs w:val="16"/>
          <w:color w:val="auto"/>
        </w:rPr>
        <w:t>The Mercury and Air Toxics Standards, the EPA technology-based emissions standards for mercury and other hazardous 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pollutants emitted by generation units with a capacity of more than 25 MW.</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Freedom. </w:t>
      </w:r>
      <w:r>
        <w:rPr>
          <w:rFonts w:ascii="Arial" w:cs="Arial" w:eastAsia="Arial" w:hAnsi="Arial"/>
          <w:sz w:val="16"/>
          <w:szCs w:val="16"/>
          <w:color w:val="auto"/>
        </w:rPr>
        <w:t>A Talen-owned and operated generation facility in Salem Township, Luzerne County, Pennsylvania.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Guernsey. </w:t>
      </w:r>
      <w:r>
        <w:rPr>
          <w:rFonts w:ascii="Arial" w:cs="Arial" w:eastAsia="Arial" w:hAnsi="Arial"/>
          <w:sz w:val="16"/>
          <w:szCs w:val="16"/>
          <w:color w:val="auto"/>
        </w:rPr>
        <w:t>A Talen-owned and operated generation facility in Byesville, Ohio.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GW. </w:t>
      </w:r>
      <w:r>
        <w:rPr>
          <w:rFonts w:ascii="Arial" w:cs="Arial" w:eastAsia="Arial" w:hAnsi="Arial"/>
          <w:sz w:val="16"/>
          <w:szCs w:val="16"/>
          <w:color w:val="auto"/>
        </w:rPr>
        <w:t>Gigawatt.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167"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b w:val="1"/>
          <w:bCs w:val="1"/>
          <w:i w:val="1"/>
          <w:iCs w:val="1"/>
          <w:color w:val="auto"/>
        </w:rPr>
        <w:t xml:space="preserve">Interim Financial Statements. </w:t>
      </w:r>
      <w:r>
        <w:rPr>
          <w:rFonts w:ascii="Arial" w:cs="Arial" w:eastAsia="Arial" w:hAnsi="Arial"/>
          <w:sz w:val="16"/>
          <w:szCs w:val="16"/>
          <w:color w:val="auto"/>
        </w:rPr>
        <w:t>The condensed consolidated balance sheets of TEC as of September 30, 2026 and December 31, 2025; the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condensed consolidated statements of operations, statements of comprehensive income, and statements of equity for the three and nine months ended September 30, 2026 and 2025, the consolidated statements of cash flows for the nine months ended September 30, 2026 and 2025; and the related notes.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LCF. </w:t>
      </w:r>
      <w:r>
        <w:rPr>
          <w:rFonts w:ascii="Arial" w:cs="Arial" w:eastAsia="Arial" w:hAnsi="Arial"/>
          <w:sz w:val="16"/>
          <w:szCs w:val="16"/>
          <w:color w:val="auto"/>
        </w:rPr>
        <w:t>The $1.5 billion stand-alone letter of credit facility established under the Credit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MWd. </w:t>
      </w:r>
      <w:r>
        <w:rPr>
          <w:rFonts w:ascii="Arial" w:cs="Arial" w:eastAsia="Arial" w:hAnsi="Arial"/>
          <w:sz w:val="16"/>
          <w:szCs w:val="16"/>
          <w:color w:val="auto"/>
        </w:rPr>
        <w:t>Megawatt-day.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Megawatt-hour.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that is expected to fund Talen’s proportionate costs associated with the future decommissioning activities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Susquehanna.</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pacing w:after="0" w:line="181"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Bonds: 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subsidiary guarantors which guarantee the obligations of TES under the Credit Facilities and the Unsecured Notes; and (ii) the obligations of TEM under the Secured ISDAs.</w:t>
      </w:r>
    </w:p>
    <w:p>
      <w:pPr>
        <w:spacing w:after="0" w:line="137" w:lineRule="exact"/>
        <w:rPr>
          <w:sz w:val="20"/>
          <w:szCs w:val="20"/>
          <w:color w:val="auto"/>
        </w:rPr>
      </w:pPr>
    </w:p>
    <w:p>
      <w:pPr>
        <w:ind w:right="6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Maryland, 10 other states, and the District of Columbia.</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PJM BRA (or “BRA”). </w:t>
      </w:r>
      <w:r>
        <w:rPr>
          <w:rFonts w:ascii="Arial" w:cs="Arial" w:eastAsia="Arial" w:hAnsi="Arial"/>
          <w:sz w:val="16"/>
          <w:szCs w:val="16"/>
          <w:color w:val="auto"/>
        </w:rPr>
        <w:t>PJM Base Residual Auction, a component of PJM’s capacity market intended to secure power supply resources from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each delivery year covering the period from June 1 to May 31.</w:t>
      </w:r>
    </w:p>
    <w:p>
      <w:pPr>
        <w:spacing w:after="0" w:line="167"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b w:val="1"/>
          <w:bCs w:val="1"/>
          <w:i w:val="1"/>
          <w:iCs w:val="1"/>
          <w:color w:val="auto"/>
        </w:rPr>
        <w:t xml:space="preserve">PJM Reliability Pricing Model. </w:t>
      </w:r>
      <w:r>
        <w:rPr>
          <w:rFonts w:ascii="Arial" w:cs="Arial" w:eastAsia="Arial" w:hAnsi="Arial"/>
          <w:sz w:val="16"/>
          <w:szCs w:val="16"/>
          <w:color w:val="auto"/>
        </w:rPr>
        <w:t>PJM’s capacity market, or the Reliability Pricing Model, formed under PJM’s Open Access Transmission Tariff,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pacing w:after="0" w:line="167" w:lineRule="exact"/>
        <w:rPr>
          <w:sz w:val="20"/>
          <w:szCs w:val="20"/>
          <w:color w:val="auto"/>
        </w:rPr>
      </w:pPr>
    </w:p>
    <w:p>
      <w:pPr>
        <w:ind w:right="8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$1.35 billion in aggregate revolving loan and LC commitments under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w:t>
      </w:r>
    </w:p>
    <w:p>
      <w:pPr>
        <w:spacing w:after="0" w:line="11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RCRA. </w:t>
      </w:r>
      <w:r>
        <w:rPr>
          <w:rFonts w:ascii="Arial" w:cs="Arial" w:eastAsia="Arial" w:hAnsi="Arial"/>
          <w:sz w:val="16"/>
          <w:szCs w:val="16"/>
          <w:color w:val="auto"/>
        </w:rPr>
        <w:t>The Resource Conservation and Recovery Act, a federal law enacted in 1976 giving the EPA authority to control hazardous and non-hazardous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solid waste from its creation to its disposal.</w:t>
      </w:r>
    </w:p>
    <w:p>
      <w:pPr>
        <w:spacing w:after="0" w:line="102" w:lineRule="exact"/>
        <w:rPr>
          <w:sz w:val="20"/>
          <w:szCs w:val="20"/>
          <w:color w:val="auto"/>
        </w:rPr>
      </w:pPr>
    </w:p>
    <w:p>
      <w:pPr>
        <w:ind w:right="380" w:firstLine="324"/>
        <w:spacing w:after="0" w:line="275"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spacing w:after="0" w:line="124"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81"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of Natural Gas as published by the North American Energy Standards Board (“NAESB”) of Talen.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 which were redeemed in full in April 2026.</w:t>
      </w:r>
    </w:p>
    <w:p>
      <w:pPr>
        <w:spacing w:after="0" w:line="167"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SRP. </w:t>
      </w:r>
      <w:r>
        <w:rPr>
          <w:rFonts w:ascii="Arial" w:cs="Arial" w:eastAsia="Arial" w:hAnsi="Arial"/>
          <w:sz w:val="16"/>
          <w:szCs w:val="16"/>
          <w:color w:val="auto"/>
        </w:rPr>
        <w:t>The share repurchase program, under which the Board of Directors has authorized the Company to repurchase shares of TEC’s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w:t>
      </w:r>
    </w:p>
    <w:p>
      <w:pPr>
        <w:spacing w:after="0" w:line="11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A subsidiary of Talen Energy Supply operates and owns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90% undivided interest in Susquehanna.</w:t>
      </w:r>
    </w:p>
    <w:p>
      <w:pPr>
        <w:spacing w:after="0" w:line="11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Talen Energy Corporation and its consolidated subsidiaries, unless the context clearly indicates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181"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Energy Marketing (or “TEM”). </w:t>
      </w:r>
      <w:r>
        <w:rPr>
          <w:rFonts w:ascii="Arial" w:cs="Arial" w:eastAsia="Arial" w:hAnsi="Arial"/>
          <w:sz w:val="16"/>
          <w:szCs w:val="16"/>
          <w:color w:val="auto"/>
        </w:rPr>
        <w:t>Talen Energy Marketing, LLC, a direct subsidiary of Talen Energy Supply that provides energy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Talen-owned and operated generation facilities and engages in wholesale commodity marketing activities.</w:t>
      </w:r>
    </w:p>
    <w:p>
      <w:pPr>
        <w:spacing w:after="0" w:line="11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all of Talen’s assets and operations.</w:t>
      </w:r>
    </w:p>
    <w:p>
      <w:pPr>
        <w:spacing w:after="0" w:line="102" w:lineRule="exact"/>
        <w:rPr>
          <w:sz w:val="20"/>
          <w:szCs w:val="20"/>
          <w:color w:val="auto"/>
        </w:rPr>
      </w:pPr>
    </w:p>
    <w:p>
      <w:pPr>
        <w:ind w:right="7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contractual economic sharing agreement for Colstrip Units 3 and 4.</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TLB-1. </w:t>
      </w:r>
      <w:r>
        <w:rPr>
          <w:rFonts w:ascii="Arial" w:cs="Arial" w:eastAsia="Arial" w:hAnsi="Arial"/>
          <w:sz w:val="16"/>
          <w:szCs w:val="16"/>
          <w:color w:val="auto"/>
        </w:rPr>
        <w:t>The $870 million senior secured term loan B facility, due November 2032, under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TLB-2. </w:t>
      </w:r>
      <w:r>
        <w:rPr>
          <w:rFonts w:ascii="Arial" w:cs="Arial" w:eastAsia="Arial" w:hAnsi="Arial"/>
          <w:sz w:val="16"/>
          <w:szCs w:val="16"/>
          <w:color w:val="auto"/>
        </w:rPr>
        <w:t>The $850 million senior secured term loan B facility, due December 2031, under the Credit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TLB-3. </w:t>
      </w:r>
      <w:r>
        <w:rPr>
          <w:rFonts w:ascii="Arial" w:cs="Arial" w:eastAsia="Arial" w:hAnsi="Arial"/>
          <w:sz w:val="16"/>
          <w:szCs w:val="16"/>
          <w:color w:val="auto"/>
        </w:rPr>
        <w:t>The $1.2 billion senior secured term loan B facility, due November 2032, under the Credit Agreement.</w:t>
      </w:r>
    </w:p>
    <w:p>
      <w:pPr>
        <w:spacing w:after="0" w:line="167"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b w:val="1"/>
          <w:bCs w:val="1"/>
          <w:i w:val="1"/>
          <w:iCs w:val="1"/>
          <w:color w:val="auto"/>
        </w:rPr>
        <w:t>Unsecured Notes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TES’s (i) 6.125% Senior Unsecured Notes due 2031; (ii) 6.375% Senior Unsecured Notes due 2033; (iii) 6.250%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Unsecured Notes due 2034; and (iv) 6.500% Senior Unsecured Notes due 2036.</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340" w:type="dxa"/>
            <w:vAlign w:val="bottom"/>
          </w:tcPr>
          <w:p>
            <w:pPr>
              <w:ind w:left="20"/>
              <w:spacing w:after="0"/>
              <w:rPr>
                <w:sz w:val="20"/>
                <w:szCs w:val="20"/>
                <w:color w:val="auto"/>
              </w:rPr>
            </w:pPr>
            <w:r>
              <w:rPr>
                <w:rFonts w:ascii="Arial" w:cs="Arial" w:eastAsia="Arial" w:hAnsi="Arial"/>
                <w:sz w:val="14"/>
                <w:szCs w:val="14"/>
                <w:color w:val="auto"/>
              </w:rPr>
              <w:t>TALEN ENERGY CORPORATION</w:t>
            </w:r>
          </w:p>
        </w:tc>
      </w:tr>
      <w:tr>
        <w:trPr>
          <w:trHeight w:val="474"/>
        </w:trPr>
        <w:tc>
          <w:tcPr>
            <w:tcW w:w="2880" w:type="dxa"/>
            <w:vAlign w:val="bottom"/>
          </w:tcPr>
          <w:p>
            <w:pPr>
              <w:spacing w:after="0"/>
              <w:rPr>
                <w:sz w:val="20"/>
                <w:szCs w:val="20"/>
                <w:color w:val="auto"/>
              </w:rPr>
            </w:pPr>
            <w:r>
              <w:rPr>
                <w:rFonts w:ascii="Arial" w:cs="Arial" w:eastAsia="Arial" w:hAnsi="Arial"/>
                <w:sz w:val="14"/>
                <w:szCs w:val="14"/>
                <w:color w:val="auto"/>
              </w:rPr>
              <w:t>Date:November 3, 2026</w:t>
            </w:r>
          </w:p>
        </w:tc>
        <w:tc>
          <w:tcPr>
            <w:tcW w:w="2200" w:type="dxa"/>
            <w:vAlign w:val="bottom"/>
          </w:tcPr>
          <w:p>
            <w:pPr>
              <w:ind w:left="1100"/>
              <w:spacing w:after="0"/>
              <w:rPr>
                <w:sz w:val="20"/>
                <w:szCs w:val="20"/>
                <w:color w:val="auto"/>
              </w:rPr>
            </w:pPr>
            <w:r>
              <w:rPr>
                <w:rFonts w:ascii="Arial" w:cs="Arial" w:eastAsia="Arial" w:hAnsi="Arial"/>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Cole Muller</w:t>
            </w:r>
          </w:p>
        </w:tc>
      </w:tr>
      <w:tr>
        <w:trPr>
          <w:trHeight w:val="194"/>
        </w:trPr>
        <w:tc>
          <w:tcPr>
            <w:tcW w:w="2880" w:type="dxa"/>
            <w:vAlign w:val="bottom"/>
          </w:tcPr>
          <w:p>
            <w:pPr>
              <w:spacing w:after="0"/>
              <w:rPr>
                <w:sz w:val="16"/>
                <w:szCs w:val="16"/>
                <w:color w:val="auto"/>
              </w:rPr>
            </w:pPr>
          </w:p>
        </w:tc>
        <w:tc>
          <w:tcPr>
            <w:tcW w:w="2200" w:type="dxa"/>
            <w:vAlign w:val="bottom"/>
          </w:tcPr>
          <w:p>
            <w:pPr>
              <w:ind w:left="1100"/>
              <w:spacing w:after="0"/>
              <w:rPr>
                <w:sz w:val="20"/>
                <w:szCs w:val="20"/>
                <w:color w:val="auto"/>
              </w:rPr>
            </w:pPr>
            <w:r>
              <w:rPr>
                <w:rFonts w:ascii="Arial" w:cs="Arial" w:eastAsia="Arial" w:hAnsi="Arial"/>
                <w:sz w:val="14"/>
                <w:szCs w:val="14"/>
                <w:color w:val="auto"/>
              </w:rPr>
              <w:t>Name:</w:t>
            </w:r>
          </w:p>
        </w:tc>
        <w:tc>
          <w:tcPr>
            <w:tcW w:w="3340" w:type="dxa"/>
            <w:vAlign w:val="bottom"/>
          </w:tcPr>
          <w:p>
            <w:pPr>
              <w:ind w:left="20"/>
              <w:spacing w:after="0"/>
              <w:rPr>
                <w:sz w:val="20"/>
                <w:szCs w:val="20"/>
                <w:color w:val="auto"/>
              </w:rPr>
            </w:pPr>
            <w:r>
              <w:rPr>
                <w:rFonts w:ascii="Arial" w:cs="Arial" w:eastAsia="Arial" w:hAnsi="Arial"/>
                <w:sz w:val="14"/>
                <w:szCs w:val="14"/>
                <w:color w:val="auto"/>
              </w:rPr>
              <w:t>Cole Muller</w:t>
            </w:r>
          </w:p>
        </w:tc>
      </w:tr>
      <w:tr>
        <w:trPr>
          <w:trHeight w:val="203"/>
        </w:trPr>
        <w:tc>
          <w:tcPr>
            <w:tcW w:w="2880" w:type="dxa"/>
            <w:vAlign w:val="bottom"/>
          </w:tcPr>
          <w:p>
            <w:pPr>
              <w:spacing w:after="0"/>
              <w:rPr>
                <w:sz w:val="17"/>
                <w:szCs w:val="17"/>
                <w:color w:val="auto"/>
              </w:rPr>
            </w:pPr>
          </w:p>
        </w:tc>
        <w:tc>
          <w:tcPr>
            <w:tcW w:w="2200" w:type="dxa"/>
            <w:vAlign w:val="bottom"/>
          </w:tcPr>
          <w:p>
            <w:pPr>
              <w:ind w:left="1100"/>
              <w:spacing w:after="0"/>
              <w:rPr>
                <w:sz w:val="20"/>
                <w:szCs w:val="20"/>
                <w:color w:val="auto"/>
              </w:rPr>
            </w:pPr>
            <w:r>
              <w:rPr>
                <w:rFonts w:ascii="Arial" w:cs="Arial" w:eastAsia="Arial" w:hAnsi="Arial"/>
                <w:sz w:val="14"/>
                <w:szCs w:val="14"/>
                <w:color w:val="auto"/>
              </w:rPr>
              <w:t>Title:</w:t>
            </w:r>
          </w:p>
        </w:tc>
        <w:tc>
          <w:tcPr>
            <w:tcW w:w="33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600"/>
          </w:cols>
          <w:pgMar w:left="320" w:top="125" w:right="97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Mark “Mac” A. McFarland, certify that:</w:t>
      </w:r>
    </w:p>
    <w:p>
      <w:pPr>
        <w:spacing w:after="0" w:line="167" w:lineRule="exact"/>
        <w:rPr>
          <w:sz w:val="20"/>
          <w:szCs w:val="20"/>
          <w:color w:val="auto"/>
        </w:rPr>
      </w:pPr>
    </w:p>
    <w:p>
      <w:pPr>
        <w:ind w:left="570" w:hanging="570"/>
        <w:spacing w:after="0"/>
        <w:tabs>
          <w:tab w:leader="none" w:pos="5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160" w:hanging="570"/>
        <w:spacing w:after="0" w:line="266" w:lineRule="auto"/>
        <w:tabs>
          <w:tab w:leader="none" w:pos="5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050" w:right="320" w:hanging="483"/>
        <w:spacing w:after="0" w:line="266" w:lineRule="auto"/>
        <w:tabs>
          <w:tab w:leader="none" w:pos="10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050" w:right="240" w:hanging="483"/>
        <w:spacing w:after="0" w:line="275" w:lineRule="auto"/>
        <w:tabs>
          <w:tab w:leader="none" w:pos="10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75" w:lineRule="auto"/>
        <w:tabs>
          <w:tab w:leader="none" w:pos="10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050" w:right="360" w:hanging="483"/>
        <w:spacing w:after="0" w:line="286" w:lineRule="auto"/>
        <w:tabs>
          <w:tab w:leader="none" w:pos="10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841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19685</wp:posOffset>
            </wp:positionV>
            <wp:extent cx="2366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 w:lineRule="exact"/>
        <w:rPr>
          <w:sz w:val="20"/>
          <w:szCs w:val="20"/>
          <w:color w:val="auto"/>
        </w:rPr>
      </w:pPr>
    </w:p>
    <w:p>
      <w:pPr>
        <w:ind w:left="829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Executive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November 3, 2026</w:t>
      </w:r>
    </w:p>
    <w:p>
      <w:pPr>
        <w:sectPr>
          <w:pgSz w:w="11900" w:h="16838" w:orient="portrait"/>
          <w:cols w:equalWidth="0" w:num="1">
            <w:col w:w="11070"/>
          </w:cols>
          <w:pgMar w:left="49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Cole Muller, certify that:</w:t>
      </w:r>
    </w:p>
    <w:p>
      <w:pPr>
        <w:spacing w:after="0" w:line="167" w:lineRule="exact"/>
        <w:rPr>
          <w:sz w:val="20"/>
          <w:szCs w:val="20"/>
          <w:color w:val="auto"/>
        </w:rPr>
      </w:pPr>
    </w:p>
    <w:p>
      <w:pPr>
        <w:ind w:left="570" w:hanging="570"/>
        <w:spacing w:after="0"/>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160" w:hanging="570"/>
        <w:spacing w:after="0" w:line="266" w:lineRule="auto"/>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050" w:right="320" w:hanging="483"/>
        <w:spacing w:after="0" w:line="266" w:lineRule="auto"/>
        <w:tabs>
          <w:tab w:leader="none" w:pos="105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050" w:right="240" w:hanging="483"/>
        <w:spacing w:after="0" w:line="275" w:lineRule="auto"/>
        <w:tabs>
          <w:tab w:leader="none" w:pos="105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75" w:lineRule="auto"/>
        <w:tabs>
          <w:tab w:leader="none" w:pos="105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050" w:right="360" w:hanging="483"/>
        <w:spacing w:after="0" w:line="286" w:lineRule="auto"/>
        <w:tabs>
          <w:tab w:leader="none" w:pos="105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8710"/>
        <w:spacing w:after="0"/>
        <w:rPr>
          <w:sz w:val="20"/>
          <w:szCs w:val="20"/>
          <w:color w:val="auto"/>
        </w:rPr>
      </w:pPr>
      <w:r>
        <w:rPr>
          <w:rFonts w:ascii="Arial" w:cs="Arial" w:eastAsia="Arial" w:hAnsi="Arial"/>
          <w:sz w:val="16"/>
          <w:szCs w:val="16"/>
          <w:i w:val="1"/>
          <w:iCs w:val="1"/>
          <w:color w:val="auto"/>
        </w:rPr>
        <w:t>/s/ Cole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19685</wp:posOffset>
            </wp:positionV>
            <wp:extent cx="23399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4" w:lineRule="exact"/>
        <w:rPr>
          <w:sz w:val="20"/>
          <w:szCs w:val="20"/>
          <w:color w:val="auto"/>
        </w:rPr>
      </w:pPr>
    </w:p>
    <w:p>
      <w:pPr>
        <w:ind w:left="8810"/>
        <w:spacing w:after="0"/>
        <w:rPr>
          <w:sz w:val="20"/>
          <w:szCs w:val="20"/>
          <w:color w:val="auto"/>
        </w:rPr>
      </w:pPr>
      <w:r>
        <w:rPr>
          <w:rFonts w:ascii="Arial" w:cs="Arial" w:eastAsia="Arial" w:hAnsi="Arial"/>
          <w:sz w:val="16"/>
          <w:szCs w:val="16"/>
          <w:color w:val="auto"/>
        </w:rPr>
        <w:t>Cole Muller</w:t>
      </w:r>
    </w:p>
    <w:p>
      <w:pPr>
        <w:spacing w:after="0" w:line="34"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November 3, 2026</w:t>
      </w:r>
    </w:p>
    <w:p>
      <w:pPr>
        <w:sectPr>
          <w:pgSz w:w="11900" w:h="16838" w:orient="portrait"/>
          <w:cols w:equalWidth="0" w:num="1">
            <w:col w:w="11070"/>
          </w:cols>
          <w:pgMar w:left="49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connection with the quarterly report on Form 10-Q of Talen Energy Corporation (the “Company”) for the quarter ended September 30, 2026, as filed with the Securities and Exchange Commission on the date hereof (the “Covered Report”), each of the undersigned officers of the Company, certify, pursuant to</w:t>
      </w:r>
    </w:p>
    <w:p>
      <w:pPr>
        <w:spacing w:after="0"/>
        <w:rPr>
          <w:sz w:val="20"/>
          <w:szCs w:val="20"/>
          <w:color w:val="auto"/>
        </w:rPr>
      </w:pPr>
      <w:r>
        <w:rPr>
          <w:rFonts w:ascii="Arial" w:cs="Arial" w:eastAsia="Arial" w:hAnsi="Arial"/>
          <w:sz w:val="16"/>
          <w:szCs w:val="16"/>
          <w:color w:val="auto"/>
        </w:rPr>
        <w:t>18 U.S.C. Section 1350, as adopted pursuant to Section 906 of the Sarbanes-Oxley Act of 2002, that:</w:t>
      </w:r>
    </w:p>
    <w:p>
      <w:pPr>
        <w:spacing w:after="0" w:line="151" w:lineRule="exact"/>
        <w:rPr>
          <w:sz w:val="20"/>
          <w:szCs w:val="20"/>
          <w:color w:val="auto"/>
        </w:rPr>
      </w:pPr>
    </w:p>
    <w:p>
      <w:pPr>
        <w:ind w:left="660" w:right="560" w:hanging="490"/>
        <w:spacing w:after="0" w:line="268"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Covered Report fully complies with the requirements of Section 13(a) or 15(d) of the Securities Exchange Act of 1934, as amended (the “Exchange Act”); and</w:t>
      </w:r>
    </w:p>
    <w:p>
      <w:pPr>
        <w:spacing w:after="0" w:line="88" w:lineRule="exact"/>
        <w:rPr>
          <w:rFonts w:ascii="Arial" w:cs="Arial" w:eastAsia="Arial" w:hAnsi="Arial"/>
          <w:sz w:val="16"/>
          <w:szCs w:val="16"/>
          <w:color w:val="auto"/>
        </w:rPr>
      </w:pPr>
    </w:p>
    <w:p>
      <w:pPr>
        <w:ind w:left="660" w:right="400" w:hanging="490"/>
        <w:spacing w:after="0" w:line="268"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Covered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860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19685</wp:posOffset>
            </wp:positionV>
            <wp:extent cx="23488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32"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left="8860"/>
        <w:spacing w:after="0"/>
        <w:rPr>
          <w:sz w:val="20"/>
          <w:szCs w:val="20"/>
          <w:color w:val="auto"/>
        </w:rPr>
      </w:pPr>
      <w:r>
        <w:rPr>
          <w:rFonts w:ascii="Arial" w:cs="Arial" w:eastAsia="Arial" w:hAnsi="Arial"/>
          <w:sz w:val="16"/>
          <w:szCs w:val="16"/>
          <w:i w:val="1"/>
          <w:iCs w:val="1"/>
          <w:color w:val="auto"/>
        </w:rPr>
        <w:t>/s/ Cole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19685</wp:posOffset>
            </wp:positionV>
            <wp:extent cx="2366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4" w:lineRule="exact"/>
        <w:rPr>
          <w:sz w:val="20"/>
          <w:szCs w:val="20"/>
          <w:color w:val="auto"/>
        </w:rPr>
      </w:pPr>
    </w:p>
    <w:p>
      <w:pPr>
        <w:ind w:left="8960"/>
        <w:spacing w:after="0"/>
        <w:rPr>
          <w:sz w:val="20"/>
          <w:szCs w:val="20"/>
          <w:color w:val="auto"/>
        </w:rPr>
      </w:pPr>
      <w:r>
        <w:rPr>
          <w:rFonts w:ascii="Arial" w:cs="Arial" w:eastAsia="Arial" w:hAnsi="Arial"/>
          <w:sz w:val="16"/>
          <w:szCs w:val="16"/>
          <w:color w:val="auto"/>
        </w:rPr>
        <w:t>Cole Muller</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Financial Officer)</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 November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Roman"/>
      <w:start w:val="2"/>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Roman"/>
      <w:start w:val="5"/>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
      <w:numFmt w:val="bullet"/>
      <w:start w:val="1"/>
    </w:lvl>
    <w:lvl w:ilvl="1">
      <w:lvlJc w:val="left"/>
      <w:lvlText w:val="◦"/>
      <w:numFmt w:val="bullet"/>
      <w:start w:val="1"/>
    </w:lvl>
  </w:abstractNum>
  <w:abstractNum w:abstractNumId="33">
    <w:nsid w:val="3855585C"/>
    <w:multiLevelType w:val="hybridMultilevel"/>
    <w:lvl w:ilvl="0">
      <w:lvlJc w:val="left"/>
      <w:lvlText w:val="•"/>
      <w:numFmt w:val="bullet"/>
      <w:start w:val="1"/>
    </w:lvl>
    <w:lvl w:ilvl="1">
      <w:lvlJc w:val="left"/>
      <w:lvlText w:val="◦"/>
      <w:numFmt w:val="bullet"/>
      <w:start w:val="1"/>
    </w:lvl>
  </w:abstractNum>
  <w:abstractNum w:abstractNumId="34">
    <w:nsid w:val="70A64E2A"/>
    <w:multiLevelType w:val="hybridMultilevel"/>
    <w:lvl w:ilvl="0">
      <w:lvlJc w:val="left"/>
      <w:lvlText w:val="•"/>
      <w:numFmt w:val="bullet"/>
      <w:start w:val="1"/>
    </w:lvl>
    <w:lvl w:ilvl="1">
      <w:lvlJc w:val="left"/>
      <w:lvlText w:val="◦"/>
      <w:numFmt w:val="bullet"/>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Roman"/>
      <w:start w:val="1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58" Type="http://schemas.openxmlformats.org/officeDocument/2006/relationships/hyperlink" Target="https://www.sec.gov/Archives/edgar/data/0001622536/000162253626000017/tec-20251231ex21cornerston.htm" TargetMode="External"/><Relationship Id="rId59" Type="http://schemas.openxmlformats.org/officeDocument/2006/relationships/hyperlink" Target="https://www.sec.gov/Archives/edgar/data/1622536/000162828024029107/exhibit31-sx1.htm" TargetMode="External"/><Relationship Id="rId60" Type="http://schemas.openxmlformats.org/officeDocument/2006/relationships/hyperlink" Target="https://www.sec.gov/Archives/edgar/data/1622536/000162828024029107/exhibit32-sx1.htm" TargetMode="External"/><Relationship Id="rId61" Type="http://schemas.openxmlformats.org/officeDocument/2006/relationships/hyperlink" Target="https://www.sec.gov/Archives/edgar/data/1622536/000162253626000074/ex101secondamendedandresta.htm" TargetMode="External"/><Relationship Id="rId62" Type="http://schemas.openxmlformats.org/officeDocument/2006/relationships/hyperlink" Target="https://www.sec.gov/Archives/edgar/data/1622536/000162253626000074/ex102transitionandretir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2026-11-03T08:03:08Z</dcterms:created>
  <dcterms:modified xsi:type="dcterms:W3CDTF">2026-11-03T08:03:08Z</dcterms:modified>
</cp:coreProperties>
</file>