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180"/>
        <w:jc w:val="center"/>
        <w:rPr>
          <w:rFonts w:ascii="Arial;sans-serif" w:hAnsi="Arial;sans-serif"/>
          <w:b/>
          <w:color w:val="000000"/>
          <w:sz w:val="32"/>
        </w:rPr>
      </w:pPr>
      <w:r>
        <w:rPr>
          <w:rFonts w:ascii="Arial;sans-serif" w:hAnsi="Arial;sans-serif"/>
          <w:b/>
          <w:color w:val="000000"/>
          <w:sz w:val="32"/>
        </w:rPr>
        <w:t xml:space="preserve">UNITED STATES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SECURITIES AND EXCHANGE COMMISSION </w:t>
      </w:r>
    </w:p>
    <w:p>
      <w:pPr>
        <w:pStyle w:val="TextBody"/>
        <w:bidi w:val="0"/>
        <w:spacing w:lineRule="auto" w:line="288" w:before="0" w:after="180"/>
        <w:jc w:val="center"/>
        <w:rPr/>
      </w:pPr>
      <w:r>
        <w:rPr>
          <w:rFonts w:ascii="Arial;sans-serif" w:hAnsi="Arial;sans-serif"/>
          <w:b/>
          <w:color w:val="000000"/>
          <w:sz w:val="20"/>
        </w:rPr>
        <w:t>Washington, D.C. 20549</w:t>
      </w:r>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180"/>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lineRule="auto" w:line="288" w:before="0" w:after="180"/>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November 5, 2025</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Talen Energy Corporation</w:t>
      </w:r>
    </w:p>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 xml:space="preserve">(Exact name of registrant as specified in its charter)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057" w:type="dxa"/>
        <w:jc w:val="center"/>
        <w:tblInd w:w="0" w:type="dxa"/>
        <w:tblLayout w:type="fixed"/>
        <w:tblCellMar>
          <w:top w:w="28" w:type="dxa"/>
          <w:left w:w="28" w:type="dxa"/>
          <w:bottom w:w="28" w:type="dxa"/>
          <w:right w:w="28" w:type="dxa"/>
        </w:tblCellMar>
      </w:tblPr>
      <w:tblGrid>
        <w:gridCol w:w="916"/>
        <w:gridCol w:w="804"/>
        <w:gridCol w:w="815"/>
        <w:gridCol w:w="109"/>
        <w:gridCol w:w="109"/>
        <w:gridCol w:w="109"/>
        <w:gridCol w:w="762"/>
        <w:gridCol w:w="762"/>
        <w:gridCol w:w="770"/>
        <w:gridCol w:w="109"/>
        <w:gridCol w:w="109"/>
        <w:gridCol w:w="109"/>
        <w:gridCol w:w="459"/>
        <w:gridCol w:w="459"/>
        <w:gridCol w:w="656"/>
      </w:tblGrid>
      <w:tr>
        <w:trPr/>
        <w:tc>
          <w:tcPr>
            <w:tcW w:w="91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001-37388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47-1197305</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Identification No.)</w:t>
            </w:r>
          </w:p>
        </w:tc>
      </w:tr>
    </w:tbl>
    <w:p>
      <w:pPr>
        <w:pStyle w:val="TextBody"/>
        <w:bidi w:val="0"/>
        <w:spacing w:lineRule="auto" w:line="288" w:before="0" w:after="0"/>
        <w:ind w:left="0" w:right="0" w:firstLine="360"/>
        <w:jc w:val="center"/>
        <w:rPr>
          <w:rFonts w:ascii="Arial;sans-serif" w:hAnsi="Arial;sans-serif"/>
          <w:b/>
          <w:color w:val="000000"/>
          <w:sz w:val="18"/>
        </w:rPr>
      </w:pPr>
      <w:r>
        <w:rPr>
          <w:rFonts w:ascii="Arial;sans-serif" w:hAnsi="Arial;sans-serif"/>
          <w:b/>
          <w:color w:val="000000"/>
          <w:sz w:val="18"/>
        </w:rPr>
        <w:t>2929 Allen Pkwy, Suite 2200</w:t>
      </w:r>
    </w:p>
    <w:p>
      <w:pPr>
        <w:pStyle w:val="TextBody"/>
        <w:bidi w:val="0"/>
        <w:spacing w:lineRule="auto" w:line="288" w:before="0" w:after="0"/>
        <w:ind w:left="0" w:right="0" w:firstLine="360"/>
        <w:jc w:val="center"/>
        <w:rPr>
          <w:rFonts w:ascii="Arial;sans-serif" w:hAnsi="Arial;sans-serif"/>
          <w:b/>
          <w:color w:val="000000"/>
          <w:sz w:val="18"/>
        </w:rPr>
      </w:pPr>
      <w:r>
        <w:rPr>
          <w:rFonts w:ascii="Arial;sans-serif" w:hAnsi="Arial;sans-serif"/>
          <w:b/>
          <w:color w:val="000000"/>
          <w:sz w:val="18"/>
        </w:rPr>
        <w:t>Houston, TX 77019</w:t>
      </w:r>
    </w:p>
    <w:p>
      <w:pPr>
        <w:pStyle w:val="TextBody"/>
        <w:bidi w:val="0"/>
        <w:spacing w:lineRule="auto" w:line="288" w:before="0" w:after="180"/>
        <w:ind w:left="0" w:right="0" w:firstLine="360"/>
        <w:jc w:val="center"/>
        <w:rPr>
          <w:rFonts w:ascii="Arial;sans-serif" w:hAnsi="Arial;sans-serif"/>
          <w:b w:val="false"/>
          <w:color w:val="000000"/>
          <w:sz w:val="18"/>
        </w:rPr>
      </w:pPr>
      <w:r>
        <w:rPr>
          <w:rFonts w:ascii="Arial;sans-serif" w:hAnsi="Arial;sans-serif"/>
          <w:b w:val="false"/>
          <w:color w:val="000000"/>
          <w:sz w:val="18"/>
        </w:rPr>
        <w:t>(Address of principal executive offices) (Zip Code)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(888) 211-6011 </w:t>
      </w:r>
    </w:p>
    <w:p>
      <w:pPr>
        <w:pStyle w:val="TextBody"/>
        <w:bidi w:val="0"/>
        <w:spacing w:lineRule="auto" w:line="288" w:before="0" w:after="180"/>
        <w:jc w:val="center"/>
        <w:rPr/>
      </w:pPr>
      <w:r>
        <w:rPr>
          <w:rFonts w:ascii="Arial;sans-serif" w:hAnsi="Arial;sans-serif"/>
          <w:b w:val="false"/>
          <w:color w:val="000000"/>
          <w:sz w:val="18"/>
        </w:rPr>
        <w:t>(Registrant’s telephone number, including area code)</w:t>
      </w:r>
      <w:r>
        <w:rPr>
          <w:color w:val="000000"/>
        </w:rPr>
        <w:t xml:space="preserve">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Not applicable </w:t>
      </w:r>
    </w:p>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(Former name, former address and former fiscal year,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3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bl>
      <w:tblPr>
        <w:tblW w:w="9566" w:type="dxa"/>
        <w:jc w:val="left"/>
        <w:tblInd w:w="0" w:type="dxa"/>
        <w:tblLayout w:type="fixed"/>
        <w:tblCellMar>
          <w:top w:w="28" w:type="dxa"/>
          <w:left w:w="28" w:type="dxa"/>
          <w:bottom w:w="28" w:type="dxa"/>
          <w:right w:w="28" w:type="dxa"/>
        </w:tblCellMar>
      </w:tblPr>
      <w:tblGrid>
        <w:gridCol w:w="124"/>
        <w:gridCol w:w="109"/>
        <w:gridCol w:w="109"/>
        <w:gridCol w:w="2700"/>
        <w:gridCol w:w="2700"/>
        <w:gridCol w:w="38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Securities registered pursuant to Section 12(b) of the Act: </w:t>
      </w:r>
    </w:p>
    <w:tbl>
      <w:tblPr>
        <w:tblW w:w="9982" w:type="dxa"/>
        <w:jc w:val="center"/>
        <w:tblInd w:w="0" w:type="dxa"/>
        <w:tblLayout w:type="fixed"/>
        <w:tblCellMar>
          <w:top w:w="28" w:type="dxa"/>
          <w:left w:w="28" w:type="dxa"/>
          <w:bottom w:w="28" w:type="dxa"/>
          <w:right w:w="28" w:type="dxa"/>
        </w:tblCellMar>
      </w:tblPr>
      <w:tblGrid>
        <w:gridCol w:w="1313"/>
        <w:gridCol w:w="1153"/>
        <w:gridCol w:w="1164"/>
        <w:gridCol w:w="109"/>
        <w:gridCol w:w="109"/>
        <w:gridCol w:w="109"/>
        <w:gridCol w:w="554"/>
        <w:gridCol w:w="554"/>
        <w:gridCol w:w="556"/>
        <w:gridCol w:w="109"/>
        <w:gridCol w:w="109"/>
        <w:gridCol w:w="109"/>
        <w:gridCol w:w="831"/>
        <w:gridCol w:w="831"/>
        <w:gridCol w:w="2372"/>
      </w:tblGrid>
      <w:tr>
        <w:trPr/>
        <w:tc>
          <w:tcPr>
            <w:tcW w:w="1313"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18"/>
              </w:rPr>
            </w:pPr>
            <w:r>
              <w:rPr>
                <w:rFonts w:ascii="Arial;sans-serif" w:hAnsi="Arial;sans-serif"/>
                <w:b/>
                <w:color w:val="000000"/>
                <w:sz w:val="18"/>
              </w:rPr>
              <w:t xml:space="preserve">Title of each class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Arial;sans-serif" w:hAnsi="Arial;sans-serif"/>
                <w:b/>
                <w:color w:val="000000"/>
                <w:sz w:val="18"/>
              </w:rPr>
            </w:pPr>
            <w:r>
              <w:rPr>
                <w:rFonts w:ascii="Arial;sans-serif" w:hAnsi="Arial;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88" w:before="0" w:after="180"/>
              <w:ind w:left="0" w:right="0" w:firstLine="90"/>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TLN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18"/>
              </w:rPr>
            </w:pPr>
            <w:r>
              <w:rPr>
                <w:rFonts w:ascii="Arial;sans-serif" w:hAnsi="Arial;sans-serif"/>
                <w:b w:val="false"/>
                <w:color w:val="000000"/>
                <w:sz w:val="18"/>
              </w:rPr>
              <w:t>The Nasdaq Global Select Market</w:t>
            </w:r>
          </w:p>
        </w:tc>
      </w:tr>
    </w:tbl>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(17 CFR§230.405) or Rule 12b-2 of the Securities Exchange Act of 1934 (17 CFR §240.12b-2).</w:t>
      </w:r>
    </w:p>
    <w:p>
      <w:pPr>
        <w:pStyle w:val="TextBody"/>
        <w:bidi w:val="0"/>
        <w:spacing w:lineRule="auto" w:line="288" w:before="0" w:after="180"/>
        <w:jc w:val="left"/>
        <w:rPr/>
      </w:pPr>
      <w:r>
        <w:rPr>
          <w:rFonts w:ascii="Arial;sans-serif" w:hAnsi="Arial;sans-serif"/>
          <w:b w:val="false"/>
          <w:color w:val="000000"/>
          <w:sz w:val="18"/>
        </w:rPr>
        <w:t xml:space="preserve">Emerging growth company </w:t>
      </w:r>
      <w:r>
        <w:rPr>
          <w:color w:val="000000"/>
        </w:rPr>
        <w:t xml:space="preserve">☐ </w:t>
      </w:r>
    </w:p>
    <w:p>
      <w:pPr>
        <w:pStyle w:val="TextBody"/>
        <w:bidi w:val="0"/>
        <w:spacing w:lineRule="auto" w:line="288" w:before="0" w:after="180"/>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Item 2.02. Results of Operations and Financial Condition.</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On November 5, 2025, Talen Energy Corporation (“Talen”) announced via press release its third quarter 2025 financial and operating results. A copy of the earnings release is furnished as Exhibit 99.1 to this Current Report on Form 8-K (this “Report”).</w:t>
      </w:r>
    </w:p>
    <w:p>
      <w:pPr>
        <w:pStyle w:val="TextBody"/>
        <w:bidi w:val="0"/>
        <w:spacing w:lineRule="auto" w:line="288" w:before="0" w:after="180"/>
        <w:jc w:val="left"/>
        <w:rPr>
          <w:rFonts w:ascii="Arial;sans-serif" w:hAnsi="Arial;sans-serif"/>
          <w:b w:val="false"/>
          <w:color w:val="000000"/>
          <w:sz w:val="18"/>
          <w:shd w:fill="FFFFFF" w:val="clear"/>
        </w:rPr>
      </w:pPr>
      <w:r>
        <w:rPr>
          <w:rFonts w:ascii="Arial;sans-serif" w:hAnsi="Arial;sans-serif"/>
          <w:b w:val="false"/>
          <w:color w:val="000000"/>
          <w:sz w:val="18"/>
          <w:shd w:fill="FFFFFF" w:val="clear"/>
        </w:rPr>
        <w:t>The information provided under this Item 2.02 and in Exhibit 99.1 to this Report is being furnished and shall not be deemed “filed” for the purpose of Section 18 of the Securities Exchange Act of 1934, as amended (the “Exchange Act”), or otherwise subject to the liabilities of that Section. The information under this Item 2.02 and in Exhibit 99.1 to this Report shall not be incorporated by reference into any registration statement or other document pursuant to the Securities Act of 1933, as amended,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(d) Exhibits:</w:t>
      </w:r>
    </w:p>
    <w:tbl>
      <w:tblPr>
        <w:tblW w:w="9494" w:type="dxa"/>
        <w:jc w:val="left"/>
        <w:tblInd w:w="0" w:type="dxa"/>
        <w:tblLayout w:type="fixed"/>
        <w:tblCellMar>
          <w:top w:w="28" w:type="dxa"/>
          <w:left w:w="28" w:type="dxa"/>
          <w:bottom w:w="28" w:type="dxa"/>
          <w:right w:w="28" w:type="dxa"/>
        </w:tblCellMar>
      </w:tblPr>
      <w:tblGrid>
        <w:gridCol w:w="374"/>
        <w:gridCol w:w="330"/>
        <w:gridCol w:w="331"/>
        <w:gridCol w:w="2476"/>
        <w:gridCol w:w="2476"/>
        <w:gridCol w:w="3507"/>
      </w:tblGrid>
      <w:tr>
        <w:trPr/>
        <w:tc>
          <w:tcPr>
            <w:tcW w:w="3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07"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Exhibit No.</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color w:val="000000"/>
                <w:sz w:val="18"/>
              </w:rPr>
            </w:pPr>
            <w:r>
              <w:rPr>
                <w:rFonts w:ascii="Arial;sans-serif" w:hAnsi="Arial;sans-serif"/>
                <w:b/>
                <w:color w:val="000000"/>
                <w:sz w:val="18"/>
              </w:rPr>
              <w:t>Description</w:t>
            </w:r>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99.1</w:t>
            </w:r>
          </w:p>
        </w:tc>
        <w:tc>
          <w:tcPr>
            <w:tcW w:w="84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51105q32025earningsrel.htm">
              <w:r>
                <w:rPr>
                  <w:rStyle w:val="InternetLink"/>
                  <w:rFonts w:ascii="Arial;sans-serif" w:hAnsi="Arial;sans-serif"/>
                  <w:b w:val="false"/>
                  <w:color w:val="0000FF"/>
                  <w:sz w:val="18"/>
                  <w:u w:val="single"/>
                </w:rPr>
                <w:t>Press Release dated November 5, 2025.</w:t>
              </w:r>
            </w:hyperlink>
          </w:p>
        </w:tc>
      </w:tr>
      <w:tr>
        <w:trPr/>
        <w:tc>
          <w:tcPr>
            <w:tcW w:w="1035"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104</w:t>
            </w:r>
          </w:p>
        </w:tc>
        <w:tc>
          <w:tcPr>
            <w:tcW w:w="845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(cover page XBRL tags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31445"/>
                <wp:effectExtent l="0" t="0" r="0" b="0"/>
                <wp:wrapNone/>
                <wp:docPr id="2"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742" w:type="dxa"/>
        <w:jc w:val="right"/>
        <w:tblInd w:w="0" w:type="dxa"/>
        <w:tblLayout w:type="fixed"/>
        <w:tblCellMar>
          <w:top w:w="28" w:type="dxa"/>
          <w:left w:w="28" w:type="dxa"/>
          <w:bottom w:w="28" w:type="dxa"/>
          <w:right w:w="28" w:type="dxa"/>
        </w:tblCellMar>
      </w:tblPr>
      <w:tblGrid>
        <w:gridCol w:w="201"/>
        <w:gridCol w:w="176"/>
        <w:gridCol w:w="178"/>
        <w:gridCol w:w="539"/>
        <w:gridCol w:w="539"/>
        <w:gridCol w:w="541"/>
        <w:gridCol w:w="214"/>
        <w:gridCol w:w="214"/>
        <w:gridCol w:w="216"/>
        <w:gridCol w:w="856"/>
        <w:gridCol w:w="856"/>
        <w:gridCol w:w="1212"/>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TALEN ENERGY CORPORATION</w:t>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Date:</w:t>
            </w:r>
          </w:p>
        </w:tc>
        <w:tc>
          <w:tcPr>
            <w:tcW w:w="16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November 5, 2025</w:t>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By:</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/s/ Terry L. Nutt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Name:</w:t>
            </w:r>
          </w:p>
        </w:tc>
        <w:tc>
          <w:tcPr>
            <w:tcW w:w="292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Terry L. Nutt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Title:</w:t>
            </w:r>
          </w:p>
        </w:tc>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80"/>
        <w:jc w:val="right"/>
        <w:rPr>
          <w:rFonts w:ascii="Arial;sans-serif" w:hAnsi="Arial;sans-serif"/>
          <w:b w:val="false"/>
          <w:color w:val="000000"/>
          <w:sz w:val="18"/>
        </w:rPr>
      </w:pPr>
      <w:r>
        <w:rPr>
          <w:rFonts w:ascii="Arial;sans-serif" w:hAnsi="Arial;sans-serif"/>
          <w:b w:val="false"/>
          <w:color w:val="000000"/>
          <w:sz w:val="18"/>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34.9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Reports Third Quarter 2025 Results, Narrows 2025 Guidance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Release Highlights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Third quarter GAAP Net Income Attributable to Stockholders of $207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Third quarter Adjusted EBITDA of $363 million and Adjusted Free Cash Flow of $223 million.</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Narrowing 2025 guidance and affirming 2026 guidance.</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Raised $1.2 billion senior secured term loan B credit facility and issued $2.7 billion in senior unsecured notes to finance the Freedom and Guernsey acquisitions (the “Acquisitions”).</w:t>
      </w:r>
    </w:p>
    <w:p>
      <w:pPr>
        <w:pStyle w:val="TextBody"/>
        <w:bidi w:val="0"/>
        <w:spacing w:lineRule="auto" w:line="288" w:before="0" w:after="180"/>
        <w:ind w:left="0" w:right="0" w:hanging="360"/>
        <w:jc w:val="left"/>
        <w:rPr/>
      </w:pPr>
      <w:r>
        <w:rPr>
          <w:color w:val="000000"/>
        </w:rPr>
        <w:t>▪</w:t>
      </w:r>
      <w:r>
        <w:rPr>
          <w:rFonts w:ascii="Arial;sans-serif" w:hAnsi="Arial;sans-serif"/>
          <w:b w:val="false"/>
          <w:color w:val="000000"/>
          <w:sz w:val="18"/>
        </w:rPr>
        <w:t>Increased share repurchase program (“SRP”), with $2 billion remaining through 2028.</w:t>
      </w:r>
    </w:p>
    <w:p>
      <w:pPr>
        <w:pStyle w:val="TextBody"/>
        <w:bidi w:val="0"/>
        <w:spacing w:lineRule="auto" w:line="288" w:before="0" w:after="180"/>
        <w:ind w:left="0" w:right="0" w:firstLine="360"/>
        <w:jc w:val="left"/>
        <w:rPr/>
      </w:pPr>
      <w:r>
        <w:rPr>
          <w:rFonts w:ascii="Arial;sans-serif" w:hAnsi="Arial;sans-serif"/>
          <w:b/>
          <w:color w:val="000000"/>
          <w:sz w:val="18"/>
          <w:shd w:fill="FFFFFF" w:val="clear"/>
        </w:rPr>
        <w:t xml:space="preserve">HOUSTON, November 5, 2025 </w:t>
      </w:r>
      <w:r>
        <w:rPr>
          <w:color w:val="000000"/>
          <w:shd w:fill="FFFFFF" w:val="clear"/>
        </w:rPr>
        <w:t xml:space="preserve">– </w:t>
      </w:r>
      <w:r>
        <w:rPr>
          <w:rFonts w:ascii="Arial;sans-serif" w:hAnsi="Arial;sans-serif"/>
          <w:b w:val="false"/>
          <w:color w:val="000000"/>
          <w:sz w:val="18"/>
          <w:shd w:fill="FFFFFF" w:val="clear"/>
        </w:rPr>
        <w:t>Talen Energy Corporation (“Talen,” the “Compan</w:t>
      </w:r>
      <w:r>
        <w:rPr>
          <w:rFonts w:ascii="Arial;sans-serif" w:hAnsi="Arial;sans-serif"/>
          <w:b w:val="false"/>
          <w:color w:val="000000"/>
          <w:sz w:val="18"/>
        </w:rPr>
        <w:t>y,” “we,” or “our”) (</w:t>
      </w:r>
      <w:r>
        <w:rPr>
          <w:rFonts w:ascii="Arial;sans-serif" w:hAnsi="Arial;sans-serif"/>
          <w:b w:val="false"/>
          <w:color w:val="0E32E1"/>
          <w:sz w:val="18"/>
          <w:u w:val="single"/>
        </w:rPr>
        <w:t>NASDAQ: TLN</w:t>
      </w:r>
      <w:r>
        <w:rPr>
          <w:rFonts w:ascii="Arial;sans-serif" w:hAnsi="Arial;sans-serif"/>
          <w:b w:val="false"/>
          <w:color w:val="000000"/>
          <w:sz w:val="18"/>
        </w:rPr>
        <w:t xml:space="preserve">), </w:t>
      </w:r>
      <w:r>
        <w:rPr>
          <w:rFonts w:ascii="Arial;sans-serif" w:hAnsi="Arial;sans-serif"/>
          <w:b w:val="false"/>
          <w:color w:val="000000"/>
          <w:sz w:val="18"/>
          <w:shd w:fill="FFFFFF" w:val="clear"/>
        </w:rPr>
        <w:t>a leading independent power producer, today reported its third quarter 2025 financial and operating results.</w:t>
      </w:r>
    </w:p>
    <w:p>
      <w:pPr>
        <w:pStyle w:val="TextBody"/>
        <w:bidi w:val="0"/>
        <w:spacing w:lineRule="auto" w:line="288" w:before="0" w:after="180"/>
        <w:ind w:left="0" w:right="0" w:firstLine="360"/>
        <w:jc w:val="left"/>
        <w:rPr>
          <w:color w:val="000000"/>
        </w:rPr>
      </w:pPr>
      <w:r>
        <w:rPr>
          <w:color w:val="000000"/>
        </w:rPr>
        <w:t>“</w:t>
      </w:r>
      <w:r>
        <w:rPr>
          <w:rFonts w:ascii="Arial;sans-serif" w:hAnsi="Arial;sans-serif"/>
          <w:b w:val="false"/>
          <w:color w:val="000000"/>
          <w:sz w:val="18"/>
        </w:rPr>
        <w:t xml:space="preserve">Today we are reporting Talen’s third quarter results, earning $363 million of Adjusted EBITDA and $223 million of Adjusted Free Cash Flow. As discussed during our September investor update, we are narrowing our 2025 guidance, while our 2026 guidance is reaffirmed and unchanged,” said Talen President and Chief Executive Officer Mac McFarland.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McFarland added, “We continue to make progress on many fronts, including successfully raising $3.9 billion to fund the Acquisitions, executing under our AWS agreement, as well as continued execution of our Talen Flywheel strategy.”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Operating Results (Unaudited)</w:t>
      </w:r>
    </w:p>
    <w:tbl>
      <w:tblPr>
        <w:tblW w:w="10205" w:type="dxa"/>
        <w:jc w:val="left"/>
        <w:tblInd w:w="0" w:type="dxa"/>
        <w:tblLayout w:type="fixed"/>
        <w:tblCellMar>
          <w:top w:w="28" w:type="dxa"/>
          <w:left w:w="28" w:type="dxa"/>
          <w:bottom w:w="28" w:type="dxa"/>
          <w:right w:w="28" w:type="dxa"/>
        </w:tblCellMar>
      </w:tblPr>
      <w:tblGrid>
        <w:gridCol w:w="1414"/>
        <w:gridCol w:w="1222"/>
        <w:gridCol w:w="1229"/>
        <w:gridCol w:w="109"/>
        <w:gridCol w:w="109"/>
        <w:gridCol w:w="109"/>
        <w:gridCol w:w="315"/>
        <w:gridCol w:w="677"/>
        <w:gridCol w:w="175"/>
        <w:gridCol w:w="175"/>
        <w:gridCol w:w="175"/>
        <w:gridCol w:w="175"/>
        <w:gridCol w:w="315"/>
        <w:gridCol w:w="677"/>
        <w:gridCol w:w="175"/>
        <w:gridCol w:w="109"/>
        <w:gridCol w:w="109"/>
        <w:gridCol w:w="109"/>
        <w:gridCol w:w="303"/>
        <w:gridCol w:w="651"/>
        <w:gridCol w:w="168"/>
        <w:gridCol w:w="168"/>
        <w:gridCol w:w="168"/>
        <w:gridCol w:w="168"/>
        <w:gridCol w:w="303"/>
        <w:gridCol w:w="651"/>
        <w:gridCol w:w="247"/>
      </w:tblGrid>
      <w:tr>
        <w:trPr/>
        <w:tc>
          <w:tcPr>
            <w:tcW w:w="1414"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3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r>
      <w:tr>
        <w:trPr/>
        <w:tc>
          <w:tcPr>
            <w:tcW w:w="3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Unless Otherwise Stated)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r>
      <w:tr>
        <w:trPr/>
        <w:tc>
          <w:tcPr>
            <w:tcW w:w="38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 Net Income (Loss) Attributable to Stockholders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7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7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68"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916 </w:t>
            </w:r>
          </w:p>
        </w:tc>
        <w:tc>
          <w:tcPr>
            <w:tcW w:w="24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w:t>
            </w:r>
          </w:p>
        </w:tc>
      </w:tr>
      <w:tr>
        <w:trPr/>
        <w:tc>
          <w:tcPr>
            <w:tcW w:w="3865"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7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232 </w:t>
            </w:r>
          </w:p>
        </w:tc>
        <w:tc>
          <w:tcPr>
            <w:tcW w:w="168"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w:t>
            </w:r>
          </w:p>
        </w:tc>
      </w:tr>
      <w:tr>
        <w:trPr/>
        <w:tc>
          <w:tcPr>
            <w:tcW w:w="3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Total Generation (TWh)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w:t>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28.1</w:t>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w:t>
            </w:r>
          </w:p>
        </w:tc>
      </w:tr>
      <w:tr>
        <w:trPr/>
        <w:tc>
          <w:tcPr>
            <w:tcW w:w="3865"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Carbon-Free Generation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w:t>
            </w:r>
          </w:p>
        </w:tc>
        <w:tc>
          <w:tcPr>
            <w:tcW w:w="52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504"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shd w:fill="E1E1E2"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w:t>
            </w:r>
          </w:p>
        </w:tc>
      </w:tr>
      <w:tr>
        <w:trPr/>
        <w:tc>
          <w:tcPr>
            <w:tcW w:w="3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3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50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(a)Total generation is, where applicable, net of station use consumption and inclusive of volumes produced by Susquehanna generation and from ERCOT assets.</w:t>
      </w:r>
    </w:p>
    <w:p>
      <w:pPr>
        <w:pStyle w:val="TextBody"/>
        <w:bidi w:val="0"/>
        <w:spacing w:before="0" w:after="0"/>
        <w:ind w:left="0" w:right="0" w:hanging="360"/>
        <w:jc w:val="left"/>
        <w:rPr/>
      </w:pPr>
      <w:r>
        <w:rPr/>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 xml:space="preserve">For the quarter ended September 30, 2025, we reported GAAP Net Income Attributable to Stockholders of $207 million, Adjusted EBITDA of $363 million and Adjusted Free Cash Flow of $223 million. Compared with the quarter ended September 30, 2024: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GAAP Net Income (Loss) Attributable to Stockholders increased by $39 million primarily due to an increase in operating revenues partially offset by higher energy expenses and income tax expense.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18"/>
        </w:rPr>
        <w:t>Adjusted EBITDA increased by $133 million primar</w:t>
      </w:r>
      <w:r>
        <w:rPr>
          <w:rFonts w:ascii="Arial;sans-serif" w:hAnsi="Arial;sans-serif"/>
          <w:b w:val="false"/>
          <w:color w:val="000000"/>
          <w:sz w:val="18"/>
          <w:shd w:fill="FFFFFF" w:val="clear"/>
        </w:rPr>
        <w:t>ily due to an increase in capacity revenues, and energy and other revenues, net of fuel and energy purchases.</w:t>
      </w:r>
    </w:p>
    <w:p>
      <w:pPr>
        <w:pStyle w:val="TextBody"/>
        <w:bidi w:val="0"/>
        <w:spacing w:before="0" w:after="0"/>
        <w:jc w:val="left"/>
        <w:rPr/>
      </w:pPr>
      <w:r>
        <w:rPr/>
      </w:r>
    </w:p>
    <w:p>
      <w:pPr>
        <w:pStyle w:val="TextBody"/>
        <w:bidi w:val="0"/>
        <w:spacing w:lineRule="auto" w:line="288" w:before="0" w:after="180"/>
        <w:ind w:left="0" w:right="0" w:hanging="360"/>
        <w:jc w:val="left"/>
        <w:rPr/>
      </w:pPr>
      <w:r>
        <w:rPr>
          <w:color w:val="000000"/>
          <w:shd w:fill="FFFFFF" w:val="clear"/>
        </w:rPr>
        <w:t>▪</w:t>
      </w:r>
      <w:r>
        <w:rPr>
          <w:rFonts w:ascii="Arial;sans-serif" w:hAnsi="Arial;sans-serif"/>
          <w:b w:val="false"/>
          <w:color w:val="000000"/>
          <w:sz w:val="18"/>
          <w:shd w:fill="FFFFFF" w:val="clear"/>
        </w:rPr>
        <w:t xml:space="preserve">Adjusted Free Cash Flow increased by $126 million primarily due to an increase in capacity revenues and energy and other revenues, net of fuel and energy purchases partially offset by higher capital expenditures associated with the extended Susquehanna refueling outage. </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See “Non-GAAP Financial Measures” for details and reconciliations of GAAP to non-GAAP financial measures.</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Narrowing 2025 Guidance and Affirming 2026 Guidance</w:t>
      </w:r>
    </w:p>
    <w:tbl>
      <w:tblPr>
        <w:tblW w:w="5019" w:type="dxa"/>
        <w:jc w:val="left"/>
        <w:tblInd w:w="0" w:type="dxa"/>
        <w:tblLayout w:type="fixed"/>
        <w:tblCellMar>
          <w:top w:w="28" w:type="dxa"/>
          <w:left w:w="28" w:type="dxa"/>
          <w:bottom w:w="28" w:type="dxa"/>
          <w:right w:w="28" w:type="dxa"/>
        </w:tblCellMar>
      </w:tblPr>
      <w:tblGrid>
        <w:gridCol w:w="712"/>
        <w:gridCol w:w="624"/>
        <w:gridCol w:w="629"/>
        <w:gridCol w:w="109"/>
        <w:gridCol w:w="109"/>
        <w:gridCol w:w="109"/>
        <w:gridCol w:w="368"/>
        <w:gridCol w:w="368"/>
        <w:gridCol w:w="374"/>
        <w:gridCol w:w="109"/>
        <w:gridCol w:w="109"/>
        <w:gridCol w:w="109"/>
        <w:gridCol w:w="377"/>
        <w:gridCol w:w="377"/>
        <w:gridCol w:w="536"/>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4"/>
              </w:rPr>
            </w:pPr>
            <w:r>
              <w:rPr>
                <w:rFonts w:ascii="Arial;sans-serif" w:hAnsi="Arial;sans-serif"/>
                <w:b/>
                <w:color w:val="000000"/>
                <w:sz w:val="14"/>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Arial;sans-serif" w:hAnsi="Arial;sans-serif"/>
                <w:b/>
                <w:color w:val="000000"/>
                <w:sz w:val="16"/>
              </w:rPr>
              <w:t xml:space="preserve">2026E </w:t>
            </w:r>
            <w:r>
              <w:rPr>
                <w:rFonts w:ascii="Arial;sans-serif" w:hAnsi="Arial;sans-serif"/>
                <w:b/>
                <w:color w:val="000000"/>
                <w:sz w:val="10"/>
              </w:rPr>
              <w:t>(a)</w:t>
            </w:r>
          </w:p>
        </w:tc>
      </w:tr>
      <w:tr>
        <w:trPr/>
        <w:tc>
          <w:tcPr>
            <w:tcW w:w="1965"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EBITDA</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$975 - $1,000</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$1,750 - $2,050</w:t>
            </w:r>
          </w:p>
        </w:tc>
      </w:tr>
      <w:tr>
        <w:trPr/>
        <w:tc>
          <w:tcPr>
            <w:tcW w:w="196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Adjusted Free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$470 - $490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$980 - $1,180</w:t>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 Includes projected pro forma impacts of the Acquisitions beginning January 1, 2026</w:t>
      </w:r>
    </w:p>
    <w:p>
      <w:pPr>
        <w:pStyle w:val="TextBody"/>
        <w:bidi w:val="0"/>
        <w:spacing w:before="0" w:after="0"/>
        <w:jc w:val="left"/>
        <w:rPr/>
      </w:pPr>
      <w:r>
        <w:rPr/>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Freedom and Guernsey Acquisitions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On July 17, 2025, Talen entered into definitive agreements to acquire Freedom and Guernsey, two highly efficient combined-cycle gas-fired plants totaling approximately 3 GW located within the PJM power market.</w:t>
      </w:r>
    </w:p>
    <w:p>
      <w:pPr>
        <w:pStyle w:val="TextBody"/>
        <w:bidi w:val="0"/>
        <w:spacing w:lineRule="auto" w:line="288" w:before="0" w:after="180"/>
        <w:ind w:left="0" w:right="0" w:firstLine="360"/>
        <w:jc w:val="left"/>
        <w:rPr/>
      </w:pPr>
      <w:r>
        <w:rPr>
          <w:rFonts w:ascii="Arial;sans-serif" w:hAnsi="Arial;sans-serif"/>
          <w:b w:val="false"/>
          <w:color w:val="000000"/>
          <w:sz w:val="18"/>
          <w:shd w:fill="FFFFFF" w:val="clear"/>
        </w:rPr>
        <w:t xml:space="preserve">In October 2025, Talen Energy Supply, LLC (“TES”) completed the offerings of </w:t>
      </w:r>
      <w:r>
        <w:rPr>
          <w:rFonts w:ascii="Arial;sans-serif" w:hAnsi="Arial;sans-serif"/>
          <w:b w:val="false"/>
          <w:color w:val="000000"/>
          <w:sz w:val="18"/>
        </w:rPr>
        <w:t>$1.4 billion</w:t>
      </w:r>
      <w:r>
        <w:rPr>
          <w:color w:val="000000"/>
          <w:shd w:fill="FFFFFF" w:val="clear"/>
        </w:rPr>
        <w:t xml:space="preserve"> </w:t>
      </w:r>
      <w:r>
        <w:rPr>
          <w:rFonts w:ascii="Arial;sans-serif" w:hAnsi="Arial;sans-serif"/>
          <w:b w:val="false"/>
          <w:color w:val="000000"/>
          <w:sz w:val="18"/>
          <w:shd w:fill="FFFFFF" w:val="clear"/>
        </w:rPr>
        <w:t xml:space="preserve">in aggregate principal amount of </w:t>
      </w:r>
      <w:r>
        <w:rPr>
          <w:rFonts w:ascii="Arial;sans-serif" w:hAnsi="Arial;sans-serif"/>
          <w:b w:val="false"/>
          <w:color w:val="000000"/>
          <w:sz w:val="18"/>
        </w:rPr>
        <w:t>6.25%</w:t>
      </w:r>
      <w:r>
        <w:rPr>
          <w:color w:val="000000"/>
          <w:shd w:fill="FFFFFF" w:val="clear"/>
        </w:rPr>
        <w:t xml:space="preserve"> </w:t>
      </w:r>
      <w:r>
        <w:rPr>
          <w:rFonts w:ascii="Arial;sans-serif" w:hAnsi="Arial;sans-serif"/>
          <w:b w:val="false"/>
          <w:color w:val="000000"/>
          <w:sz w:val="18"/>
          <w:shd w:fill="FFFFFF" w:val="clear"/>
        </w:rPr>
        <w:t xml:space="preserve">senior unsecured notes due 2034 and </w:t>
      </w:r>
      <w:r>
        <w:rPr>
          <w:rFonts w:ascii="Arial;sans-serif" w:hAnsi="Arial;sans-serif"/>
          <w:b w:val="false"/>
          <w:color w:val="000000"/>
          <w:sz w:val="18"/>
        </w:rPr>
        <w:t>$1.29 billion</w:t>
      </w:r>
      <w:r>
        <w:rPr>
          <w:color w:val="000000"/>
          <w:shd w:fill="FFFFFF" w:val="clear"/>
        </w:rPr>
        <w:t xml:space="preserve"> </w:t>
      </w:r>
      <w:r>
        <w:rPr>
          <w:rFonts w:ascii="Arial;sans-serif" w:hAnsi="Arial;sans-serif"/>
          <w:b w:val="false"/>
          <w:color w:val="000000"/>
          <w:sz w:val="18"/>
          <w:shd w:fill="FFFFFF" w:val="clear"/>
        </w:rPr>
        <w:t xml:space="preserve">in aggregate principal amount of </w:t>
      </w:r>
      <w:r>
        <w:rPr>
          <w:rFonts w:ascii="Arial;sans-serif" w:hAnsi="Arial;sans-serif"/>
          <w:b w:val="false"/>
          <w:color w:val="000000"/>
          <w:sz w:val="18"/>
        </w:rPr>
        <w:t xml:space="preserve">6.50% senior unsecured notes due </w:t>
      </w:r>
      <w:r>
        <w:rPr>
          <w:rFonts w:ascii="Arial;sans-serif" w:hAnsi="Arial;sans-serif"/>
          <w:b w:val="false"/>
          <w:color w:val="000000"/>
          <w:sz w:val="18"/>
          <w:shd w:fill="FFFFFF" w:val="clear"/>
        </w:rPr>
        <w:t>2036.</w:t>
      </w:r>
    </w:p>
    <w:p>
      <w:pPr>
        <w:pStyle w:val="TextBody"/>
        <w:bidi w:val="0"/>
        <w:spacing w:lineRule="auto" w:line="288" w:before="0" w:after="180"/>
        <w:ind w:left="0" w:right="0" w:firstLine="360"/>
        <w:jc w:val="left"/>
        <w:rPr/>
      </w:pPr>
      <w:r>
        <w:rPr>
          <w:rFonts w:ascii="Arial;sans-serif" w:hAnsi="Arial;sans-serif"/>
          <w:b w:val="false"/>
          <w:color w:val="000000"/>
          <w:sz w:val="18"/>
          <w:shd w:fill="FFFFFF" w:val="clear"/>
        </w:rPr>
        <w:t xml:space="preserve">Also in October 2025, TES: (i) allocated and priced a </w:t>
      </w:r>
      <w:r>
        <w:rPr>
          <w:rFonts w:ascii="Arial;sans-serif" w:hAnsi="Arial;sans-serif"/>
          <w:b w:val="false"/>
          <w:color w:val="000000"/>
          <w:sz w:val="18"/>
        </w:rPr>
        <w:t>$1.2 billion</w:t>
      </w:r>
      <w:r>
        <w:rPr>
          <w:color w:val="000000"/>
          <w:shd w:fill="FFFFFF" w:val="clear"/>
        </w:rPr>
        <w:t xml:space="preserve"> </w:t>
      </w:r>
      <w:r>
        <w:rPr>
          <w:rFonts w:ascii="Arial;sans-serif" w:hAnsi="Arial;sans-serif"/>
          <w:b w:val="false"/>
          <w:color w:val="000000"/>
          <w:sz w:val="18"/>
          <w:shd w:fill="FFFFFF" w:val="clear"/>
        </w:rPr>
        <w:t xml:space="preserve">senior secured term loan B credit facility; (ii) received commitments to increase its existing </w:t>
      </w:r>
      <w:r>
        <w:rPr>
          <w:rFonts w:ascii="Arial;sans-serif" w:hAnsi="Arial;sans-serif"/>
          <w:b w:val="false"/>
          <w:color w:val="000000"/>
          <w:sz w:val="18"/>
        </w:rPr>
        <w:t>$700 million</w:t>
      </w:r>
      <w:r>
        <w:rPr>
          <w:color w:val="000000"/>
          <w:shd w:fill="FFFFFF" w:val="clear"/>
        </w:rPr>
        <w:t xml:space="preserve"> </w:t>
      </w:r>
      <w:r>
        <w:rPr>
          <w:rFonts w:ascii="Arial;sans-serif" w:hAnsi="Arial;sans-serif"/>
          <w:b w:val="false"/>
          <w:color w:val="000000"/>
          <w:sz w:val="18"/>
          <w:shd w:fill="FFFFFF" w:val="clear"/>
        </w:rPr>
        <w:t xml:space="preserve">Revolving Credit Facility by </w:t>
      </w:r>
      <w:r>
        <w:rPr>
          <w:rFonts w:ascii="Arial;sans-serif" w:hAnsi="Arial;sans-serif"/>
          <w:b w:val="false"/>
          <w:color w:val="000000"/>
          <w:sz w:val="18"/>
        </w:rPr>
        <w:t>$200 million</w:t>
      </w:r>
      <w:r>
        <w:rPr>
          <w:color w:val="000000"/>
          <w:shd w:fill="FFFFFF" w:val="clear"/>
        </w:rPr>
        <w:t xml:space="preserve"> </w:t>
      </w:r>
      <w:r>
        <w:rPr>
          <w:rFonts w:ascii="Arial;sans-serif" w:hAnsi="Arial;sans-serif"/>
          <w:b w:val="false"/>
          <w:color w:val="000000"/>
          <w:sz w:val="18"/>
          <w:shd w:fill="FFFFFF" w:val="clear"/>
        </w:rPr>
        <w:t xml:space="preserve">to </w:t>
      </w:r>
      <w:r>
        <w:rPr>
          <w:rFonts w:ascii="Arial;sans-serif" w:hAnsi="Arial;sans-serif"/>
          <w:b w:val="false"/>
          <w:color w:val="000000"/>
          <w:sz w:val="18"/>
        </w:rPr>
        <w:t>$900 million</w:t>
      </w:r>
      <w:r>
        <w:rPr>
          <w:rFonts w:ascii="Arial;sans-serif" w:hAnsi="Arial;sans-serif"/>
          <w:b w:val="false"/>
          <w:color w:val="000000"/>
          <w:sz w:val="18"/>
          <w:shd w:fill="FFFFFF" w:val="clear"/>
        </w:rPr>
        <w:t xml:space="preserve">; (iii) received commitments to increase its existing </w:t>
      </w:r>
      <w:r>
        <w:rPr>
          <w:rFonts w:ascii="Arial;sans-serif" w:hAnsi="Arial;sans-serif"/>
          <w:b w:val="false"/>
          <w:color w:val="000000"/>
          <w:sz w:val="18"/>
        </w:rPr>
        <w:t>$900 million</w:t>
      </w:r>
      <w:r>
        <w:rPr>
          <w:color w:val="000000"/>
          <w:shd w:fill="FFFFFF" w:val="clear"/>
        </w:rPr>
        <w:t xml:space="preserve"> </w:t>
      </w:r>
      <w:r>
        <w:rPr>
          <w:rFonts w:ascii="Arial;sans-serif" w:hAnsi="Arial;sans-serif"/>
          <w:b w:val="false"/>
          <w:color w:val="000000"/>
          <w:sz w:val="18"/>
          <w:shd w:fill="FFFFFF" w:val="clear"/>
        </w:rPr>
        <w:t xml:space="preserve">Letter of Credit Facility (“LCF”) by </w:t>
      </w:r>
      <w:r>
        <w:rPr>
          <w:rFonts w:ascii="Arial;sans-serif" w:hAnsi="Arial;sans-serif"/>
          <w:b w:val="false"/>
          <w:color w:val="000000"/>
          <w:sz w:val="18"/>
        </w:rPr>
        <w:t>$200 million</w:t>
      </w:r>
      <w:r>
        <w:rPr>
          <w:color w:val="000000"/>
          <w:shd w:fill="FFFFFF" w:val="clear"/>
        </w:rPr>
        <w:t xml:space="preserve"> </w:t>
      </w:r>
      <w:r>
        <w:rPr>
          <w:rFonts w:ascii="Arial;sans-serif" w:hAnsi="Arial;sans-serif"/>
          <w:b w:val="false"/>
          <w:color w:val="000000"/>
          <w:sz w:val="18"/>
          <w:shd w:fill="FFFFFF" w:val="clear"/>
        </w:rPr>
        <w:t xml:space="preserve">to </w:t>
      </w:r>
      <w:r>
        <w:rPr>
          <w:rFonts w:ascii="Arial;sans-serif" w:hAnsi="Arial;sans-serif"/>
          <w:b w:val="false"/>
          <w:color w:val="000000"/>
          <w:sz w:val="18"/>
        </w:rPr>
        <w:t>$1.1 billion</w:t>
      </w:r>
      <w:r>
        <w:rPr>
          <w:rFonts w:ascii="Arial;sans-serif" w:hAnsi="Arial;sans-serif"/>
          <w:b w:val="false"/>
          <w:color w:val="000000"/>
          <w:sz w:val="18"/>
          <w:shd w:fill="FFFFFF" w:val="clear"/>
        </w:rPr>
        <w:t>; and (iv) extended the maturity of the LCF from December 2026 to December 2027. We expect to use the net proceeds from the unsecured notes, together with the proceeds of the new senior secured term loan B credit facility, to fund the Acquisitions.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Acquisitions are both expected to close in the first quarter 2026 or sooner. Each transaction is subject to the satisfaction of customary closing conditions, including the expiration or termination of the waiting period pursuant to the Hart-Scott-Rodino Antitrust Improvements Act of 1976 (“HSR”), and regulatory approvals from the FERC and other regulatory agencies. These regulatory filings have all been made and are now pending at the agencies. After discussions with the U.S. Department of Justice (the “DOJ”) regarding our pending HSR application in connection with the Acquisitions, we determined it prudent to withdraw the application and promptly refiled the application on October 17, 2025 to restart the 30-day review period, and provide additional information to the DOJ voluntarily.</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Upsize of Share Repurchase Program</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In September 2025, the Board of Directors approved the upsizing of the Company’s existing SRP from $995 million to an aggregate remaining capacity of $2 billion and extended the expiration of the SRP from December 31, 2026 to December 31, 2028. The execution of this additional authorization is contingent on the completion of the Acquisitions.</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Index Inclusion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During the third quarter 2025, Talen was added to the S&amp;P 400 Index. Since September 2024, Talen has been added to the S&amp;P Total Market Index, S&amp;P Completion Index, CRSP Total Market Index, CRSP Small Cap Index, MSCI USA Small Cap Index, Russell 3000 Index and Russell 1000 Index.</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Balance Sheet and Liquidity</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are committed to net leverage targets below 3.5x net debt-to-Adjusted EBITDA following the post-acquisition deleveraging period and intend to be below 3.5x net leverage by year-end 2026. As of October 31, 2025, we had ample total available liquidity of approximately $1.2 billion, comprised of $485 million of unrestricted cash and $700 million of available capacity under the revolving credit facility. Our projected net leverage ratio, utilizing the 2025E Adjusted EBITDA midpoint and net debt balance as of October 31, 2025, is approximately 2.6x.</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Update on Hedging Activities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As of September 30, 2025, including the impact of the Nuclear PTC, we had hedged approximately 100% of our expected generation volumes for 2025, 60% for 2026, and 25% for 2027 including projected pro forma impacts of the Acquisitions beginning January 1, 2026. The Company’s hedging program is a key component of our comprehensive risk policy and supports the objective of increasing cash flow stability while maintaining upside optionality.</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Earnings Call</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Company will hold an earnings call on Wednesday, November 5, 2025, at 4:15 p.m. ET (3:15 p.m. CT). To listen to the earnings call, please register in advance for the webcast here. For participants joining the call via phone, please register here prior to the start time to receive dial-in information. For those unable to participate in the live event, a digital replay will be archived for approximately one year and available on the Events page of Talen’s Investor Relations website linked here.</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About Talen</w:t>
      </w:r>
    </w:p>
    <w:p>
      <w:pPr>
        <w:pStyle w:val="TextBody"/>
        <w:bidi w:val="0"/>
        <w:spacing w:lineRule="auto" w:line="288" w:before="0" w:after="180"/>
        <w:ind w:left="0" w:right="0" w:firstLine="360"/>
        <w:jc w:val="left"/>
        <w:rPr/>
      </w:pPr>
      <w:r>
        <w:rPr>
          <w:rFonts w:ascii="Arial;sans-serif" w:hAnsi="Arial;sans-serif"/>
          <w:b w:val="false"/>
          <w:color w:val="000000"/>
          <w:sz w:val="18"/>
        </w:rPr>
        <w:t>Talen Energy (</w:t>
      </w:r>
      <w:r>
        <w:rPr>
          <w:rFonts w:ascii="Arial;sans-serif" w:hAnsi="Arial;sans-serif"/>
          <w:b w:val="false"/>
          <w:color w:val="0E32E1"/>
          <w:sz w:val="18"/>
          <w:u w:val="single"/>
        </w:rPr>
        <w:t>NASDAQ: TLN</w:t>
      </w:r>
      <w:r>
        <w:rPr>
          <w:rFonts w:ascii="Arial;sans-serif" w:hAnsi="Arial;sans-serif"/>
          <w:b w:val="false"/>
          <w:color w:val="000000"/>
          <w:sz w:val="18"/>
        </w:rPr>
        <w:t xml:space="preserve">) is a leading independent power producer and energy infrastructure company dedicated to powering the future. We own and operate approximately 10.3 gigawatts of power infrastructure in the United States, including 2.2 gigawatts of nuclear power and a significant dispatchable fossil fleet. We produce and sell electricity, capacity, and ancillary services into wholesale U.S. power markets, with our generation fleet principally located in the Mid-Atlantic and Montana. Our team is committed to generating power safely and reliably delivering the most value per megawatt produced. Talen is also powering the digital infrastructure revolution. We are well-positioned to serve this growing industry, as artificial intelligence data centers increasingly demand more reliable, clean power. Talen is headquartered in Houston, Texas. For more information, visit </w:t>
      </w:r>
      <w:r>
        <w:rPr>
          <w:rFonts w:ascii="Arial;sans-serif" w:hAnsi="Arial;sans-serif"/>
          <w:b w:val="false"/>
          <w:color w:val="0E32E1"/>
          <w:sz w:val="18"/>
          <w:u w:val="single"/>
        </w:rPr>
        <w:t>https://www.talenenergy.com/</w:t>
      </w:r>
      <w:r>
        <w:rPr>
          <w:rFonts w:ascii="Arial;sans-serif" w:hAnsi="Arial;sans-serif"/>
          <w:b w:val="false"/>
          <w:color w:val="000000"/>
          <w:sz w:val="18"/>
        </w:rPr>
        <w:t>.</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Investor Relations: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Sergio Castro</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Vice President &amp; Treasurer</w:t>
      </w:r>
    </w:p>
    <w:p>
      <w:pPr>
        <w:pStyle w:val="TextBody"/>
        <w:bidi w:val="0"/>
        <w:spacing w:lineRule="auto" w:line="288" w:before="0" w:after="180"/>
        <w:jc w:val="left"/>
        <w:rPr>
          <w:rFonts w:ascii="Arial;sans-serif" w:hAnsi="Arial;sans-serif"/>
          <w:b w:val="false"/>
          <w:color w:val="0E32E1"/>
          <w:sz w:val="18"/>
          <w:u w:val="single"/>
        </w:rPr>
      </w:pPr>
      <w:r>
        <w:rPr>
          <w:rFonts w:ascii="Arial;sans-serif" w:hAnsi="Arial;sans-serif"/>
          <w:b w:val="false"/>
          <w:color w:val="0E32E1"/>
          <w:sz w:val="18"/>
          <w:u w:val="single"/>
        </w:rPr>
        <w:t>InvestorRelations@talenenergy.com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Media:</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Taryne Williams</w:t>
      </w:r>
    </w:p>
    <w:p>
      <w:pPr>
        <w:pStyle w:val="TextBody"/>
        <w:bidi w:val="0"/>
        <w:spacing w:lineRule="auto" w:line="288" w:before="0" w:after="40"/>
        <w:jc w:val="left"/>
        <w:rPr>
          <w:rFonts w:ascii="Arial;sans-serif" w:hAnsi="Arial;sans-serif"/>
          <w:b w:val="false"/>
          <w:color w:val="000000"/>
          <w:sz w:val="18"/>
        </w:rPr>
      </w:pPr>
      <w:r>
        <w:rPr>
          <w:rFonts w:ascii="Arial;sans-serif" w:hAnsi="Arial;sans-serif"/>
          <w:b w:val="false"/>
          <w:color w:val="000000"/>
          <w:sz w:val="18"/>
        </w:rPr>
        <w:t>Director, Corporate Communications</w:t>
      </w:r>
    </w:p>
    <w:p>
      <w:pPr>
        <w:pStyle w:val="TextBody"/>
        <w:bidi w:val="0"/>
        <w:spacing w:lineRule="auto" w:line="288" w:before="0" w:after="180"/>
        <w:jc w:val="left"/>
        <w:rPr>
          <w:rFonts w:ascii="Arial;sans-serif" w:hAnsi="Arial;sans-serif"/>
          <w:b w:val="false"/>
          <w:color w:val="0E32E1"/>
          <w:sz w:val="18"/>
          <w:u w:val="single"/>
        </w:rPr>
      </w:pPr>
      <w:r>
        <w:rPr>
          <w:rFonts w:ascii="Arial;sans-serif" w:hAnsi="Arial;sans-serif"/>
          <w:b w:val="false"/>
          <w:color w:val="0E32E1"/>
          <w:sz w:val="18"/>
          <w:u w:val="single"/>
        </w:rPr>
        <w:t>Taryne.Williams@talenenergy.com</w: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Forward Looking Statements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This communication contains forward-looking statements within the meaning of the federal securities laws, which statements are subject to substantial risks and uncertainties. These forward-looking statements are intended to qualify for the safe harbor from liability established by the Private Securities Litigation Reform Act of 1995. All statements other than statements of historical fact included in this communication, or incorporated by reference into this communication, are forward-looking statements. Throughout this communication, we have attempted to identify forward-looking statements by using words such as “anticipate,” “believe,” “continue,” “could,” “estimate,” “expect,” “forecasts,” “goal,” “intend,” “may,” “plan,” “potential,” “predict,” “project,” “seek,” “should,” “will,” or other forms of these words or similar words or expressions or the negative thereof, although not all forward-looking statements contain these terms. Forward-looking statements address future events and conditions concerning, among other things, statements regarding the proposed Freedom and Guernsey acquisitions, the expected closing of the proposed transactions and the timing thereof, the financing of the proposed transactions, capital expenditures, earnings, litigation, regulatory matters, hedging, liquidity and capital resources, accounting matters, expectations, beliefs, plans, objectives, goals, strategies, future events or performance, shareholder returns and underlying assumptions. Forward-looking statements are subject to substantial risks and uncertainties that could cause our future business, financial condition, results of operations or performance to differ materially from our historical results or those expressed or implied in any forward-looking statement contained in this communication. All of our forward-looking statements include assumptions underlying or relating to such statements that may cause actual results to differ materially from expectations and are subject to numerous factors that present considerable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STATEMENTS OF OPERATIONS (UNAUDITED)</w:t>
      </w:r>
    </w:p>
    <w:tbl>
      <w:tblPr>
        <w:tblW w:w="10205" w:type="dxa"/>
        <w:jc w:val="left"/>
        <w:tblInd w:w="0" w:type="dxa"/>
        <w:tblLayout w:type="fixed"/>
        <w:tblCellMar>
          <w:top w:w="28" w:type="dxa"/>
          <w:left w:w="28" w:type="dxa"/>
          <w:bottom w:w="28" w:type="dxa"/>
          <w:right w:w="28" w:type="dxa"/>
        </w:tblCellMar>
      </w:tblPr>
      <w:tblGrid>
        <w:gridCol w:w="1717"/>
        <w:gridCol w:w="1161"/>
        <w:gridCol w:w="1174"/>
        <w:gridCol w:w="109"/>
        <w:gridCol w:w="109"/>
        <w:gridCol w:w="109"/>
        <w:gridCol w:w="259"/>
        <w:gridCol w:w="617"/>
        <w:gridCol w:w="144"/>
        <w:gridCol w:w="144"/>
        <w:gridCol w:w="144"/>
        <w:gridCol w:w="144"/>
        <w:gridCol w:w="259"/>
        <w:gridCol w:w="617"/>
        <w:gridCol w:w="144"/>
        <w:gridCol w:w="109"/>
        <w:gridCol w:w="109"/>
        <w:gridCol w:w="109"/>
        <w:gridCol w:w="243"/>
        <w:gridCol w:w="579"/>
        <w:gridCol w:w="135"/>
        <w:gridCol w:w="135"/>
        <w:gridCol w:w="135"/>
        <w:gridCol w:w="135"/>
        <w:gridCol w:w="243"/>
        <w:gridCol w:w="690"/>
        <w:gridCol w:w="135"/>
        <w:gridCol w:w="109"/>
        <w:gridCol w:w="109"/>
        <w:gridCol w:w="109"/>
        <w:gridCol w:w="109"/>
        <w:gridCol w:w="161"/>
      </w:tblGrid>
      <w:tr>
        <w:trPr/>
        <w:tc>
          <w:tcPr>
            <w:tcW w:w="171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Capacity revenues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Energy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812</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650</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1,832</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1,648</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Fuel and energy 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(677)</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(535)</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Energy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(292)</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(245)</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(779)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(633)</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Operation, maintenance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and administrative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operating income (expense),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263</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w:t>
            </w:r>
            <w:r>
              <w:rPr>
                <w:color w:val="000000"/>
              </w:rPr>
              <w:t>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7"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 of assets,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non-operating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Income (Loss) Before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304</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179</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1,137</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945</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52"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color w:val="000000"/>
                <w:sz w:val="16"/>
              </w:rPr>
            </w:pPr>
            <w:r>
              <w:rPr>
                <w:rFonts w:ascii="Arial;sans-serif" w:hAnsi="Arial;sans-serif"/>
                <w:b/>
                <w:color w:val="000000"/>
                <w:sz w:val="16"/>
              </w:rPr>
              <w:t xml:space="preserve">Net Income (Loss) Attributable to Stockholders </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207</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17"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168</w:t>
            </w:r>
            <w:r>
              <w:rPr>
                <w:color w:val="000000"/>
              </w:rPr>
              <w:t> </w:t>
            </w:r>
          </w:p>
        </w:tc>
        <w:tc>
          <w:tcPr>
            <w:tcW w:w="14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9"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144</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916</w:t>
            </w:r>
            <w:r>
              <w:rPr>
                <w:color w:val="000000"/>
              </w:rPr>
              <w:t> </w:t>
            </w:r>
          </w:p>
        </w:tc>
        <w:tc>
          <w:tcPr>
            <w:tcW w:w="135"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Basic</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 Attributable to Stockholders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Basic (in thousands)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45,684 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50,924 </w:t>
            </w:r>
          </w:p>
        </w:tc>
        <w:tc>
          <w:tcPr>
            <w:tcW w:w="14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45,694 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55,703 </w:t>
            </w:r>
          </w:p>
        </w:tc>
        <w:tc>
          <w:tcPr>
            <w:tcW w:w="135"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5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Weighted-Average Number of Common Shares Outstanding - Diluted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48,582 </w:t>
            </w:r>
          </w:p>
        </w:tc>
        <w:tc>
          <w:tcPr>
            <w:tcW w:w="1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53,169 </w:t>
            </w:r>
          </w:p>
        </w:tc>
        <w:tc>
          <w:tcPr>
            <w:tcW w:w="14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48,588 </w:t>
            </w:r>
          </w:p>
        </w:tc>
        <w:tc>
          <w:tcPr>
            <w:tcW w:w="1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57,756 </w:t>
            </w:r>
          </w:p>
        </w:tc>
        <w:tc>
          <w:tcPr>
            <w:tcW w:w="135"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BALANCE SHEETS (UNAUDITED)</w:t>
      </w:r>
    </w:p>
    <w:tbl>
      <w:tblPr>
        <w:tblW w:w="8227" w:type="dxa"/>
        <w:jc w:val="left"/>
        <w:tblInd w:w="0" w:type="dxa"/>
        <w:tblLayout w:type="fixed"/>
        <w:tblCellMar>
          <w:top w:w="28" w:type="dxa"/>
          <w:left w:w="28" w:type="dxa"/>
          <w:bottom w:w="28" w:type="dxa"/>
          <w:right w:w="28" w:type="dxa"/>
        </w:tblCellMar>
      </w:tblPr>
      <w:tblGrid>
        <w:gridCol w:w="1852"/>
        <w:gridCol w:w="1630"/>
        <w:gridCol w:w="1647"/>
        <w:gridCol w:w="109"/>
        <w:gridCol w:w="109"/>
        <w:gridCol w:w="109"/>
        <w:gridCol w:w="275"/>
        <w:gridCol w:w="801"/>
        <w:gridCol w:w="153"/>
        <w:gridCol w:w="109"/>
        <w:gridCol w:w="109"/>
        <w:gridCol w:w="109"/>
        <w:gridCol w:w="258"/>
        <w:gridCol w:w="753"/>
        <w:gridCol w:w="204"/>
      </w:tblGrid>
      <w:tr>
        <w:trPr/>
        <w:tc>
          <w:tcPr>
            <w:tcW w:w="1852"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542" w:type="dxa"/>
            <w:gridSpan w:val="6"/>
            <w:tcBorders/>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 except share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2024</w:t>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184 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1,048</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1,040</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3,075 </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3,154 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6,097</w:t>
            </w:r>
            <w:r>
              <w:rPr>
                <w:color w:val="000000"/>
              </w:rPr>
              <w:t> </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 due within one year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457</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455</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Long-term debt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2,969 </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2,987 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 obligations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obligations and accrued environmental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4,628</w:t>
            </w:r>
            <w:r>
              <w:rPr>
                <w:color w:val="000000"/>
              </w:rPr>
              <w:t> </w:t>
            </w:r>
          </w:p>
        </w:tc>
        <w:tc>
          <w:tcPr>
            <w:tcW w:w="153"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4,719</w:t>
            </w:r>
            <w:r>
              <w:rPr>
                <w:color w:val="000000"/>
              </w:rPr>
              <w:t> </w:t>
            </w:r>
          </w:p>
        </w:tc>
        <w:tc>
          <w:tcPr>
            <w:tcW w:w="20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Common stock ($0.001 par value, 350,000,000 shares authorized)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1,726 </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1,725 </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retained earnings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53"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20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1,469</w:t>
            </w: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1,387</w:t>
            </w: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Liabilities and Stockholders' Equity</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01"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6,097</w:t>
            </w:r>
            <w:r>
              <w:rPr>
                <w:color w:val="000000"/>
              </w:rPr>
              <w:t> </w:t>
            </w:r>
          </w:p>
        </w:tc>
        <w:tc>
          <w:tcPr>
            <w:tcW w:w="1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6,106</w:t>
            </w:r>
            <w:r>
              <w:rPr>
                <w:color w:val="000000"/>
              </w:rPr>
              <w:t> </w:t>
            </w:r>
          </w:p>
        </w:tc>
        <w:tc>
          <w:tcPr>
            <w:tcW w:w="204"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__________________</w:t>
      </w:r>
    </w:p>
    <w:p>
      <w:pPr>
        <w:pStyle w:val="TextBody"/>
        <w:bidi w:val="0"/>
        <w:spacing w:lineRule="auto" w:line="288" w:before="0" w:after="0"/>
        <w:ind w:left="0" w:right="0" w:hanging="360"/>
        <w:jc w:val="left"/>
        <w:rPr>
          <w:rFonts w:ascii="Arial;sans-serif" w:hAnsi="Arial;sans-serif"/>
          <w:b w:val="false"/>
          <w:color w:val="000000"/>
          <w:sz w:val="12"/>
        </w:rPr>
      </w:pPr>
      <w:r>
        <w:rPr>
          <w:rFonts w:ascii="Arial;sans-serif" w:hAnsi="Arial;sans-serif"/>
          <w:b w:val="false"/>
          <w:color w:val="000000"/>
          <w:sz w:val="12"/>
        </w:rPr>
        <w:t>(a)45,687,828 and 45,961,910 shares issued and outstanding as of September 30, 2025 and December 31, 2024, respectively.</w:t>
      </w:r>
    </w:p>
    <w:p>
      <w:pPr>
        <w:pStyle w:val="TextBody"/>
        <w:bidi w:val="0"/>
        <w:spacing w:before="0" w:after="180"/>
        <w:jc w:val="left"/>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100"/>
        <w:jc w:val="center"/>
        <w:rPr/>
      </w:pPr>
      <w:r>
        <w:rPr/>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TALEN ENERGY CORPORATION AND SUBSIDIARIES</w:t>
      </w:r>
    </w:p>
    <w:p>
      <w:pPr>
        <w:pStyle w:val="TextBody"/>
        <w:bidi w:val="0"/>
        <w:spacing w:lineRule="auto" w:line="288" w:before="0" w:after="100"/>
        <w:jc w:val="center"/>
        <w:rPr>
          <w:rFonts w:ascii="Arial;sans-serif" w:hAnsi="Arial;sans-serif"/>
          <w:b/>
          <w:color w:val="000000"/>
          <w:sz w:val="18"/>
        </w:rPr>
      </w:pPr>
      <w:r>
        <w:rPr>
          <w:rFonts w:ascii="Arial;sans-serif" w:hAnsi="Arial;sans-serif"/>
          <w:b/>
          <w:color w:val="000000"/>
          <w:sz w:val="18"/>
        </w:rPr>
        <w:t>CONDENSED CONSOLIDATED STATEMENTS OF CASH FLOWS (UNAUDITED)</w:t>
      </w:r>
    </w:p>
    <w:tbl>
      <w:tblPr>
        <w:tblW w:w="10205" w:type="dxa"/>
        <w:jc w:val="left"/>
        <w:tblInd w:w="0" w:type="dxa"/>
        <w:tblLayout w:type="fixed"/>
        <w:tblCellMar>
          <w:top w:w="28" w:type="dxa"/>
          <w:left w:w="28" w:type="dxa"/>
          <w:bottom w:w="28" w:type="dxa"/>
          <w:right w:w="28" w:type="dxa"/>
        </w:tblCellMar>
      </w:tblPr>
      <w:tblGrid>
        <w:gridCol w:w="2430"/>
        <w:gridCol w:w="2087"/>
        <w:gridCol w:w="2077"/>
        <w:gridCol w:w="109"/>
        <w:gridCol w:w="109"/>
        <w:gridCol w:w="109"/>
        <w:gridCol w:w="270"/>
        <w:gridCol w:w="603"/>
        <w:gridCol w:w="150"/>
        <w:gridCol w:w="150"/>
        <w:gridCol w:w="150"/>
        <w:gridCol w:w="150"/>
        <w:gridCol w:w="270"/>
        <w:gridCol w:w="791"/>
        <w:gridCol w:w="150"/>
        <w:gridCol w:w="109"/>
        <w:gridCol w:w="109"/>
        <w:gridCol w:w="109"/>
        <w:gridCol w:w="109"/>
        <w:gridCol w:w="164"/>
      </w:tblGrid>
      <w:tr>
        <w:trPr/>
        <w:tc>
          <w:tcPr>
            <w:tcW w:w="243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gridSpan w:val="2"/>
            <w:tcBorders/>
          </w:tcPr>
          <w:p>
            <w:pPr>
              <w:pStyle w:val="TableContents"/>
              <w:bidi w:val="0"/>
              <w:spacing w:before="0" w:after="283"/>
              <w:jc w:val="left"/>
              <w:rPr>
                <w:sz w:val="4"/>
                <w:szCs w:val="4"/>
              </w:rPr>
            </w:pPr>
            <w:r>
              <w:rPr>
                <w:sz w:val="4"/>
                <w:szCs w:val="4"/>
              </w:rPr>
            </w:r>
          </w:p>
        </w:tc>
      </w:tr>
      <w:tr>
        <w:trPr/>
        <w:tc>
          <w:tcPr>
            <w:tcW w:w="65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Non-cash reconciliation adjustments: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(gains) losses on derivative instruments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 (excluding interest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AWS Data Campus Sale and ERCOT Sale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(886)</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(Gain) loss on sales of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Changes in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Accrued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Collateral received (posted),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424</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246</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op w:val="doub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double" w:sz="8" w:space="0" w:color="000000"/>
            </w:tcBorders>
            <w:shd w:fill="E1E1E2"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purchases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investment sale proceeds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1,827 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 expenditures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the sale of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AWS Data Campus Sale and ERCOT Sale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1,398 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investing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(156)</w:t>
            </w:r>
          </w:p>
        </w:tc>
        <w:tc>
          <w:tcPr>
            <w:tcW w:w="1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1,225</w:t>
            </w:r>
            <w:r>
              <w:rPr>
                <w:color w:val="000000"/>
              </w:rPr>
              <w:t> </w:t>
            </w:r>
          </w:p>
        </w:tc>
        <w:tc>
          <w:tcPr>
            <w:tcW w:w="1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 repurchases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borrowings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Revolving credit facility repayments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Debt repayments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Cumulus Digital TLF repayment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 of noncontrolling interest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settlement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5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(136)</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(1,240)</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6594"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increase (decrease) in cash and cash equivalents and restricted 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5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w:t>
            </w:r>
            <w:r>
              <w:rPr>
                <w:color w:val="000000"/>
              </w:rPr>
              <w:t> </w:t>
            </w:r>
          </w:p>
        </w:tc>
        <w:tc>
          <w:tcPr>
            <w:tcW w:w="150"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659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Beginning of period cash and cash equivalents and restricted cash and cash equivalents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365</w:t>
            </w: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901</w:t>
            </w:r>
            <w:r>
              <w:rPr>
                <w:color w:val="000000"/>
              </w:rPr>
              <w:t>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90"/>
              <w:jc w:val="left"/>
              <w:rPr>
                <w:sz w:val="4"/>
                <w:szCs w:val="4"/>
              </w:rPr>
            </w:pPr>
            <w:r>
              <w:rPr>
                <w:sz w:val="4"/>
                <w:szCs w:val="4"/>
              </w:rPr>
            </w:r>
          </w:p>
        </w:tc>
      </w:tr>
      <w:tr>
        <w:trPr/>
        <w:tc>
          <w:tcPr>
            <w:tcW w:w="659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End of period cash and cash equivalents and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497</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1,132</w:t>
            </w:r>
            <w:r>
              <w:rPr>
                <w:color w:val="000000"/>
              </w:rPr>
              <w:t>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180"/>
        <w:jc w:val="left"/>
        <w:rPr>
          <w:rFonts w:ascii="Arial;sans-serif" w:hAnsi="Arial;sans-serif"/>
          <w:b/>
          <w:color w:val="000000"/>
          <w:sz w:val="18"/>
        </w:rPr>
      </w:pPr>
      <w:r>
        <w:rPr>
          <w:rFonts w:ascii="Arial;sans-serif" w:hAnsi="Arial;sans-serif"/>
          <w:b/>
          <w:color w:val="000000"/>
          <w:sz w:val="18"/>
        </w:rPr>
        <w:t>Non-GAAP Financial Measures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and Adjusted Free Cash Flow, which we use as measures of our performance and liquidity, are not financial measures prepared under GAAP. Non-GAAP financial measures do not have definitions under GAAP and may be defined and calculated differently by, and not be comparable to, similarly titled measures used by other companies. Non-GAAP measures are not intended to replace the most comparable GAAP measures as indicators of performance. Generally, a non-GAAP financial measure is a numerical measure of financial performance, financial position, or cash flows that excludes (or includes) amounts that are included in (or excluded from) the most directly comparable measure calculated and presented in accordance with GAAP. Management cautions readers not to place undue reliance on the following non-GAAP financial measures, but to also consider them along with their most directly comparable GAAP financial measures. Non-GAAP measures have limitations as analytical tools and should not be considered in isolation or as a substitute for analyzing our results as reported under GAAP.</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use Adjusted EBITDA to: (i) assist in comparing operating performance and readily view operating trends on a consistent basis from period to period without certain items that may distort financial results; (ii) plan and forecast overall expectations and evaluate actual results against such expectations; (iii) communicate with our Board of Directors, shareholders, creditors, analysts, and the broader financial community concerning our financial performance; (iv) set performance metrics for our annual short-term incentive compensation; and (v) assess compliance with our indebtedness.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EBITDA is computed as net income (loss) adjusted, among other things, for certain: (i) nonrecurring charges; (ii) non-recurring gains; (iii) non-cash and other items; (iv) unusual market events; (v) any depreciation, amortization, or accretion; (vi) mark-to-market gains or losses; (vii) gains and losses on the nuclear facility decommissioning trust (“NDT”); (viii) gains and losses on asset sales, dispositions, and asset retirement; (ix) impairments, obsolescence, and net realizable value charges; (x) interest expense; (xi) income taxes; (xii) legal settlements, liquidated damages, and contractual terminations; (xiii) development expenses; (xiv) noncontrolling interests, except where otherwise noted; and (xv) other adjustments. Such adjustments are computed consistently with the provisions of our indebtedness to the extent that they can be derived from the financial records of the business. Pursuant to TES’s debt agreements, Cumulus Digital contributes to Adjusted EBITDA beginning in the first quarter 2024, following termination of the Cumulus Digital credit facility and associated cash flow sweep.</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Additionally, we believe investors commonly adjust net income (loss) information to eliminate the effect of nonrecurring restructuring expenses and other non-cash charges, which can vary widely from company to company and from period to period and impair comparability. We believe Adjusted EBITDA is useful to investors and other users of our financial statements to evaluate our operating performance because it provides an additional tool to compare business performance across companies and between periods. Adjusted EBITDA is widely used by investors to measure a company’s operating performance without regard to such items described above. These adjustments can vary substantially from company to company and period to period depending upon accounting policies, book value of assets, capital structure, and the method by which assets were acquired.</w: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Free Cash Flow</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Adjusted Free Cash Flow is utilized by our chief operating decision makers to evaluate cash flow activities. Adjusted Free Cash Flow is computed as Adjusted EBITDA reduced by capital expenditures (including nuclear fuel but excluding development, growth, and (or) conversion capital expenditures), cash payments for interest and finance charges, cash payments for income taxes (excluding income taxes paid from the NDT, taxes paid or deductions taken as a result of strategic asset sales, and benefits of the Nuclear PTC utilized to reduce income taxes paid), and pension contributions.</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We believe Adjusted Free Cash Flow is useful to investors and other users of our financial statements in evaluating our operating performance because it provides them with an additional tool to determine a company’s ability to meet future obligations and to compare business performance across companies and across periods. Adjusted Free Cash Flow is widely used by investors to measure a company’s levered cash flow without regard to items such as ARO settlements; nonrecurring development, growth and conversion expenditures; and cash proceeds or payments for the sale or purchase of assets, which can vary substantially from company to company and from period to period depending upon accounting methods, book value of assets, capital structure, and the method by which assets were acquired.</w:t>
      </w: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 / Adjusted Free Cash Flow Reconciliation</w:t>
      </w:r>
    </w:p>
    <w:p>
      <w:pPr>
        <w:pStyle w:val="TextBody"/>
        <w:bidi w:val="0"/>
        <w:spacing w:lineRule="auto" w:line="288" w:before="0" w:after="180"/>
        <w:ind w:left="0" w:right="0" w:firstLine="360"/>
        <w:jc w:val="left"/>
        <w:rPr>
          <w:rFonts w:ascii="Arial;sans-serif" w:hAnsi="Arial;sans-serif"/>
          <w:b w:val="false"/>
          <w:color w:val="000000"/>
          <w:sz w:val="18"/>
        </w:rPr>
      </w:pPr>
      <w:r>
        <w:rPr>
          <w:rFonts w:ascii="Arial;sans-serif" w:hAnsi="Arial;sans-serif"/>
          <w:b w:val="false"/>
          <w:color w:val="000000"/>
          <w:sz w:val="18"/>
        </w:rPr>
        <w:t>The following table presents a reconciliation of the GAAP financial measure of “Net Income (Loss)” presented on the Consolidated Statements of Operations to the non-GAAP financial measures of Adjusted EBITDA and Adjusted Free Cash Flow:</w:t>
      </w:r>
    </w:p>
    <w:tbl>
      <w:tblPr>
        <w:tblW w:w="10205" w:type="dxa"/>
        <w:jc w:val="left"/>
        <w:tblInd w:w="0" w:type="dxa"/>
        <w:tblLayout w:type="fixed"/>
        <w:tblCellMar>
          <w:top w:w="28" w:type="dxa"/>
          <w:left w:w="28" w:type="dxa"/>
          <w:bottom w:w="28" w:type="dxa"/>
          <w:right w:w="28" w:type="dxa"/>
        </w:tblCellMar>
      </w:tblPr>
      <w:tblGrid>
        <w:gridCol w:w="1472"/>
        <w:gridCol w:w="1210"/>
        <w:gridCol w:w="1152"/>
        <w:gridCol w:w="109"/>
        <w:gridCol w:w="109"/>
        <w:gridCol w:w="109"/>
        <w:gridCol w:w="283"/>
        <w:gridCol w:w="630"/>
        <w:gridCol w:w="157"/>
        <w:gridCol w:w="157"/>
        <w:gridCol w:w="157"/>
        <w:gridCol w:w="157"/>
        <w:gridCol w:w="283"/>
        <w:gridCol w:w="630"/>
        <w:gridCol w:w="157"/>
        <w:gridCol w:w="109"/>
        <w:gridCol w:w="109"/>
        <w:gridCol w:w="109"/>
        <w:gridCol w:w="272"/>
        <w:gridCol w:w="605"/>
        <w:gridCol w:w="150"/>
        <w:gridCol w:w="150"/>
        <w:gridCol w:w="150"/>
        <w:gridCol w:w="150"/>
        <w:gridCol w:w="272"/>
        <w:gridCol w:w="605"/>
        <w:gridCol w:w="150"/>
        <w:gridCol w:w="109"/>
        <w:gridCol w:w="109"/>
        <w:gridCol w:w="109"/>
        <w:gridCol w:w="109"/>
        <w:gridCol w:w="166"/>
      </w:tblGrid>
      <w:tr>
        <w:trPr/>
        <w:tc>
          <w:tcPr>
            <w:tcW w:w="1472"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gridSpan w:val="2"/>
            <w:tcBorders/>
          </w:tcPr>
          <w:p>
            <w:pPr>
              <w:pStyle w:val="TableContents"/>
              <w:bidi w:val="0"/>
              <w:spacing w:before="0" w:after="283"/>
              <w:jc w:val="left"/>
              <w:rPr>
                <w:sz w:val="4"/>
                <w:szCs w:val="4"/>
              </w:rPr>
            </w:pPr>
            <w:r>
              <w:rPr>
                <w:sz w:val="4"/>
                <w:szCs w:val="4"/>
              </w:rPr>
            </w:r>
          </w:p>
        </w:tc>
      </w:tr>
      <w:tr>
        <w:trPr/>
        <w:tc>
          <w:tcPr>
            <w:tcW w:w="3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30"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168 </w:t>
            </w:r>
          </w:p>
        </w:tc>
        <w:tc>
          <w:tcPr>
            <w:tcW w:w="157"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144 </w:t>
            </w:r>
          </w:p>
        </w:tc>
        <w:tc>
          <w:tcPr>
            <w:tcW w:w="1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5"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945 </w:t>
            </w:r>
          </w:p>
        </w:tc>
        <w:tc>
          <w:tcPr>
            <w:tcW w:w="150"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(102)</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 funds (gain) loss,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ind w:left="0" w:right="0" w:hanging="90"/>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and other long-term incentive compensation expense</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(Gain) loss on asset sales, net</w:t>
            </w:r>
            <w:r>
              <w:rPr>
                <w:color w:val="000000"/>
              </w:rPr>
              <w:t xml:space="preserve"> </w:t>
            </w:r>
            <w:r>
              <w:rPr>
                <w:rFonts w:ascii="Arial;sans-serif" w:hAnsi="Arial;sans-serif"/>
                <w:b w:val="false"/>
                <w:color w:val="000000"/>
                <w:sz w:val="1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Arial;sans-serif" w:hAnsi="Arial;sans-serif"/>
                <w:b w:val="false"/>
                <w:color w:val="000000"/>
                <w:sz w:val="16"/>
              </w:rPr>
            </w:pPr>
            <w:r>
              <w:rPr>
                <w:rFonts w:ascii="Arial;sans-serif" w:hAnsi="Arial;sans-serif"/>
                <w:b w:val="false"/>
                <w:color w:val="000000"/>
                <w:sz w:val="16"/>
              </w:rPr>
              <w:t>Operational and other restructuring activities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19 </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653</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606</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57"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50"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834" w:type="dxa"/>
            <w:gridSpan w:val="3"/>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223</w:t>
            </w:r>
            <w:r>
              <w:rPr>
                <w:color w:val="000000"/>
              </w:rPr>
              <w:t> </w:t>
            </w:r>
          </w:p>
        </w:tc>
        <w:tc>
          <w:tcPr>
            <w:tcW w:w="1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3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w:t>
            </w:r>
            <w:r>
              <w:rPr>
                <w:color w:val="000000"/>
              </w:rPr>
              <w:t> </w:t>
            </w:r>
          </w:p>
        </w:tc>
        <w:tc>
          <w:tcPr>
            <w:tcW w:w="157"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232</w:t>
            </w:r>
            <w:r>
              <w:rPr>
                <w:color w:val="000000"/>
              </w:rPr>
              <w:t> </w:t>
            </w:r>
          </w:p>
        </w:tc>
        <w:tc>
          <w:tcPr>
            <w:tcW w:w="1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05"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262</w:t>
            </w:r>
            <w:r>
              <w:rPr>
                <w:color w:val="000000"/>
              </w:rPr>
              <w:t> </w:t>
            </w:r>
          </w:p>
        </w:tc>
        <w:tc>
          <w:tcPr>
            <w:tcW w:w="150" w:type="dxa"/>
            <w:tcBorders>
              <w:top w:val="single" w:sz="8" w:space="0" w:color="000000"/>
              <w:bottom w:val="doub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(a)See Note 17 to the Q3 2025 Financial Statements for additional information.</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righ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180"/>
        <w:ind w:left="0" w:right="0" w:firstLine="360"/>
        <w:jc w:val="left"/>
        <w:rPr>
          <w:rFonts w:ascii="Arial;sans-serif" w:hAnsi="Arial;sans-serif"/>
          <w:b/>
          <w:i/>
          <w:color w:val="000000"/>
          <w:sz w:val="18"/>
        </w:rPr>
      </w:pPr>
      <w:r>
        <w:rPr>
          <w:rFonts w:ascii="Arial;sans-serif" w:hAnsi="Arial;sans-serif"/>
          <w:b/>
          <w:i/>
          <w:color w:val="000000"/>
          <w:sz w:val="18"/>
        </w:rPr>
        <w:t>Adjusted EBITDA / Adjusted Free Cash Flow Reconciliation: 2025 and 2026 Guidance</w:t>
      </w:r>
    </w:p>
    <w:tbl>
      <w:tblPr>
        <w:tblW w:w="9041" w:type="dxa"/>
        <w:jc w:val="left"/>
        <w:tblInd w:w="0" w:type="dxa"/>
        <w:tblLayout w:type="fixed"/>
        <w:tblCellMar>
          <w:top w:w="28" w:type="dxa"/>
          <w:left w:w="28" w:type="dxa"/>
          <w:bottom w:w="28" w:type="dxa"/>
          <w:right w:w="28" w:type="dxa"/>
        </w:tblCellMar>
      </w:tblPr>
      <w:tblGrid>
        <w:gridCol w:w="1539"/>
        <w:gridCol w:w="1354"/>
        <w:gridCol w:w="1366"/>
        <w:gridCol w:w="109"/>
        <w:gridCol w:w="109"/>
        <w:gridCol w:w="109"/>
        <w:gridCol w:w="196"/>
        <w:gridCol w:w="496"/>
        <w:gridCol w:w="109"/>
        <w:gridCol w:w="109"/>
        <w:gridCol w:w="109"/>
        <w:gridCol w:w="109"/>
        <w:gridCol w:w="196"/>
        <w:gridCol w:w="571"/>
        <w:gridCol w:w="109"/>
        <w:gridCol w:w="109"/>
        <w:gridCol w:w="109"/>
        <w:gridCol w:w="109"/>
        <w:gridCol w:w="196"/>
        <w:gridCol w:w="571"/>
        <w:gridCol w:w="109"/>
        <w:gridCol w:w="109"/>
        <w:gridCol w:w="109"/>
        <w:gridCol w:w="109"/>
        <w:gridCol w:w="196"/>
        <w:gridCol w:w="571"/>
        <w:gridCol w:w="154"/>
      </w:tblGrid>
      <w:tr>
        <w:trPr/>
        <w:tc>
          <w:tcPr>
            <w:tcW w:w="153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2025E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2026E</w:t>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2"/>
              </w:rPr>
            </w:pPr>
            <w:r>
              <w:rPr>
                <w:rFonts w:ascii="Arial;sans-serif" w:hAnsi="Arial;sans-serif"/>
                <w:b/>
                <w:color w:val="000000"/>
                <w:sz w:val="12"/>
              </w:rPr>
              <w:t>(Millions of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High</w:t>
            </w:r>
          </w:p>
        </w:tc>
      </w:tr>
      <w:tr>
        <w:trPr/>
        <w:tc>
          <w:tcPr>
            <w:tcW w:w="4259" w:type="dxa"/>
            <w:gridSpan w:val="3"/>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875 </w:t>
            </w:r>
          </w:p>
        </w:tc>
        <w:tc>
          <w:tcPr>
            <w:tcW w:w="109"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top w:val="single" w:sz="8" w:space="0" w:color="000000"/>
            </w:tcBorders>
            <w:shd w:fill="E1E1E2"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1,125 </w:t>
            </w:r>
          </w:p>
        </w:tc>
        <w:tc>
          <w:tcPr>
            <w:tcW w:w="154" w:type="dxa"/>
            <w:tcBorders>
              <w:top w:val="single" w:sz="8" w:space="0" w:color="000000"/>
            </w:tcBorders>
            <w:shd w:fill="E1E1E2"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and other finance charges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amortization and accretion</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fuel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Unrealized (gain) loss on commodity derivative contracts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2,050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Capital expenditures, net</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96"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1" w:type="dxa"/>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and finance charge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E1E1E2"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taxes</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E1E1E2"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54" w:type="dxa"/>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Pension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Adjusted Free Cash Flow</w:t>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4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470</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490</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980</w:t>
            </w:r>
            <w:r>
              <w:rPr>
                <w:color w:val="000000"/>
              </w:rPr>
              <w:t> </w:t>
            </w:r>
          </w:p>
        </w:tc>
        <w:tc>
          <w:tcPr>
            <w:tcW w:w="109"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1E1E2"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571"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1,180</w:t>
            </w:r>
            <w:r>
              <w:rPr>
                <w:color w:val="000000"/>
              </w:rPr>
              <w:t> </w:t>
            </w:r>
          </w:p>
        </w:tc>
        <w:tc>
          <w:tcPr>
            <w:tcW w:w="154" w:type="dxa"/>
            <w:tcBorders>
              <w:top w:val="single" w:sz="8" w:space="0" w:color="000000"/>
              <w:bottom w:val="single" w:sz="8" w:space="0" w:color="000000"/>
            </w:tcBorders>
            <w:shd w:fill="E1E1E2"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_______________</w:t>
      </w:r>
    </w:p>
    <w:p>
      <w:pPr>
        <w:pStyle w:val="TextBody"/>
        <w:bidi w:val="0"/>
        <w:spacing w:lineRule="auto" w:line="288"/>
        <w:ind w:left="0" w:right="0" w:hanging="360"/>
        <w:jc w:val="left"/>
        <w:rPr>
          <w:rFonts w:ascii="Arial;sans-serif" w:hAnsi="Arial;sans-serif"/>
          <w:b w:val="false"/>
          <w:color w:val="000000"/>
          <w:sz w:val="14"/>
        </w:rPr>
      </w:pPr>
      <w:r>
        <w:rPr>
          <w:rFonts w:ascii="Arial;sans-serif" w:hAnsi="Arial;sans-serif"/>
          <w:b w:val="false"/>
          <w:color w:val="000000"/>
          <w:sz w:val="14"/>
        </w:rPr>
        <w:t xml:space="preserve">Note: Figures are rounded to the nearest $5 million. </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4011</Words>
  <Characters>22798</Characters>
  <CharactersWithSpaces>26324</CharactersWithSpaces>
  <Paragraphs>782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