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t>UNITED STATES</w:t>
      </w:r>
    </w:p>
    <w:p>
      <w:pPr>
        <w:spacing w:after="0" w:line="166"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51"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2196465</wp:posOffset>
            </wp:positionH>
            <wp:positionV relativeFrom="paragraph">
              <wp:posOffset>297815</wp:posOffset>
            </wp:positionV>
            <wp:extent cx="2528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212725</wp:posOffset>
            </wp:positionV>
            <wp:extent cx="2537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CURRENT REPORT</w:t>
      </w:r>
    </w:p>
    <w:p>
      <w:pPr>
        <w:spacing w:after="0" w:line="167"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December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303530</wp:posOffset>
            </wp:positionV>
            <wp:extent cx="2537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Talen Energy Corporation</w:t>
      </w:r>
    </w:p>
    <w:p>
      <w:pPr>
        <w:spacing w:after="0" w:line="4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233680</wp:posOffset>
            </wp:positionV>
            <wp:extent cx="253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226"/>
        </w:trPr>
        <w:tc>
          <w:tcPr>
            <w:tcW w:w="3300" w:type="dxa"/>
            <w:vAlign w:val="bottom"/>
            <w:tcBorders>
              <w:bottom w:val="single" w:sz="8" w:color="auto"/>
            </w:tcBorders>
          </w:tcPr>
          <w:p>
            <w:pPr>
              <w:jc w:val="center"/>
              <w:ind w:left="779"/>
              <w:spacing w:after="0"/>
              <w:rPr>
                <w:sz w:val="20"/>
                <w:szCs w:val="20"/>
                <w:color w:val="auto"/>
              </w:rPr>
            </w:pPr>
            <w:r>
              <w:rPr>
                <w:rFonts w:ascii="Arial" w:cs="Arial" w:eastAsia="Arial" w:hAnsi="Arial"/>
                <w:sz w:val="16"/>
                <w:szCs w:val="16"/>
                <w:b w:val="1"/>
                <w:bCs w:val="1"/>
                <w:color w:val="auto"/>
              </w:rPr>
              <w:t>Delaware</w:t>
            </w: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001-37388</w:t>
            </w:r>
          </w:p>
        </w:tc>
        <w:tc>
          <w:tcPr>
            <w:tcW w:w="1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jc w:val="center"/>
              <w:ind w:right="1019"/>
              <w:spacing w:after="0"/>
              <w:rPr>
                <w:sz w:val="20"/>
                <w:szCs w:val="20"/>
                <w:color w:val="auto"/>
              </w:rPr>
            </w:pPr>
            <w:r>
              <w:rPr>
                <w:rFonts w:ascii="Arial" w:cs="Arial" w:eastAsia="Arial" w:hAnsi="Arial"/>
                <w:sz w:val="16"/>
                <w:szCs w:val="16"/>
                <w:b w:val="1"/>
                <w:bCs w:val="1"/>
                <w:color w:val="auto"/>
              </w:rPr>
              <w:t>47-1197305</w:t>
            </w:r>
          </w:p>
        </w:tc>
      </w:tr>
      <w:tr>
        <w:trPr>
          <w:trHeight w:val="213"/>
        </w:trPr>
        <w:tc>
          <w:tcPr>
            <w:tcW w:w="3300" w:type="dxa"/>
            <w:vAlign w:val="bottom"/>
          </w:tcPr>
          <w:p>
            <w:pPr>
              <w:jc w:val="center"/>
              <w:ind w:left="759"/>
              <w:spacing w:after="0"/>
              <w:rPr>
                <w:sz w:val="20"/>
                <w:szCs w:val="20"/>
                <w:color w:val="auto"/>
              </w:rPr>
            </w:pPr>
            <w:r>
              <w:rPr>
                <w:rFonts w:ascii="Arial" w:cs="Arial" w:eastAsia="Arial" w:hAnsi="Arial"/>
                <w:sz w:val="16"/>
                <w:szCs w:val="16"/>
                <w:color w:val="auto"/>
              </w:rPr>
              <w:t>(State or other jurisdiction of</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gridSpan w:val="3"/>
          </w:tcPr>
          <w:p>
            <w:pPr>
              <w:jc w:val="center"/>
              <w:ind w:right="1220"/>
              <w:spacing w:after="0"/>
              <w:rPr>
                <w:sz w:val="20"/>
                <w:szCs w:val="20"/>
                <w:color w:val="auto"/>
              </w:rPr>
            </w:pPr>
            <w:r>
              <w:rPr>
                <w:rFonts w:ascii="Arial" w:cs="Arial" w:eastAsia="Arial" w:hAnsi="Arial"/>
                <w:sz w:val="16"/>
                <w:szCs w:val="16"/>
                <w:color w:val="auto"/>
              </w:rPr>
              <w:t>(Commission File Number)</w:t>
            </w:r>
          </w:p>
        </w:tc>
        <w:tc>
          <w:tcPr>
            <w:tcW w:w="3080" w:type="dxa"/>
            <w:vAlign w:val="bottom"/>
          </w:tcPr>
          <w:p>
            <w:pPr>
              <w:jc w:val="center"/>
              <w:ind w:right="999"/>
              <w:spacing w:after="0"/>
              <w:rPr>
                <w:sz w:val="20"/>
                <w:szCs w:val="20"/>
                <w:color w:val="auto"/>
              </w:rPr>
            </w:pPr>
            <w:r>
              <w:rPr>
                <w:rFonts w:ascii="Arial" w:cs="Arial" w:eastAsia="Arial" w:hAnsi="Arial"/>
                <w:sz w:val="16"/>
                <w:szCs w:val="16"/>
                <w:color w:val="auto"/>
                <w:w w:val="99"/>
              </w:rPr>
              <w:t>(IRS Employer</w:t>
            </w:r>
          </w:p>
        </w:tc>
      </w:tr>
      <w:tr>
        <w:trPr>
          <w:trHeight w:val="215"/>
        </w:trPr>
        <w:tc>
          <w:tcPr>
            <w:tcW w:w="3300" w:type="dxa"/>
            <w:vAlign w:val="bottom"/>
          </w:tcPr>
          <w:p>
            <w:pPr>
              <w:jc w:val="center"/>
              <w:ind w:left="779"/>
              <w:spacing w:after="0"/>
              <w:rPr>
                <w:sz w:val="20"/>
                <w:szCs w:val="20"/>
                <w:color w:val="auto"/>
              </w:rPr>
            </w:pPr>
            <w:r>
              <w:rPr>
                <w:rFonts w:ascii="Arial" w:cs="Arial" w:eastAsia="Arial" w:hAnsi="Arial"/>
                <w:sz w:val="16"/>
                <w:szCs w:val="16"/>
                <w:color w:val="auto"/>
              </w:rPr>
              <w:t>incorporation or organization)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tcPr>
          <w:p>
            <w:pPr>
              <w:jc w:val="center"/>
              <w:ind w:right="1019"/>
              <w:spacing w:after="0"/>
              <w:rPr>
                <w:sz w:val="20"/>
                <w:szCs w:val="20"/>
                <w:color w:val="auto"/>
              </w:rPr>
            </w:pPr>
            <w:r>
              <w:rPr>
                <w:rFonts w:ascii="Arial" w:cs="Arial" w:eastAsia="Arial" w:hAnsi="Arial"/>
                <w:sz w:val="16"/>
                <w:szCs w:val="16"/>
                <w:color w:val="auto"/>
              </w:rPr>
              <w:t>Identification No.)</w:t>
            </w:r>
          </w:p>
        </w:tc>
      </w:tr>
      <w:tr>
        <w:trPr>
          <w:trHeight w:val="609"/>
        </w:trPr>
        <w:tc>
          <w:tcPr>
            <w:tcW w:w="3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3"/>
          </w:tcPr>
          <w:p>
            <w:pPr>
              <w:jc w:val="center"/>
              <w:ind w:right="1180"/>
              <w:spacing w:after="0"/>
              <w:rPr>
                <w:sz w:val="20"/>
                <w:szCs w:val="20"/>
                <w:color w:val="auto"/>
              </w:rPr>
            </w:pPr>
            <w:r>
              <w:rPr>
                <w:rFonts w:ascii="Arial" w:cs="Arial" w:eastAsia="Arial" w:hAnsi="Arial"/>
                <w:sz w:val="16"/>
                <w:szCs w:val="16"/>
                <w:b w:val="1"/>
                <w:bCs w:val="1"/>
                <w:color w:val="auto"/>
              </w:rPr>
              <w:t>2929 Allen Pkwy, Suite 2200</w:t>
            </w:r>
          </w:p>
        </w:tc>
        <w:tc>
          <w:tcPr>
            <w:tcW w:w="3080" w:type="dxa"/>
            <w:vAlign w:val="bottom"/>
          </w:tcPr>
          <w:p>
            <w:pPr>
              <w:spacing w:after="0"/>
              <w:rPr>
                <w:sz w:val="24"/>
                <w:szCs w:val="24"/>
                <w:color w:val="auto"/>
              </w:rPr>
            </w:pPr>
          </w:p>
        </w:tc>
      </w:tr>
      <w:tr>
        <w:trPr>
          <w:trHeight w:val="203"/>
        </w:trPr>
        <w:tc>
          <w:tcPr>
            <w:tcW w:w="3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
          </w:tcPr>
          <w:p>
            <w:pPr>
              <w:jc w:val="center"/>
              <w:ind w:right="1200"/>
              <w:spacing w:after="0"/>
              <w:rPr>
                <w:sz w:val="20"/>
                <w:szCs w:val="20"/>
                <w:color w:val="auto"/>
              </w:rPr>
            </w:pPr>
            <w:r>
              <w:rPr>
                <w:rFonts w:ascii="Arial" w:cs="Arial" w:eastAsia="Arial" w:hAnsi="Arial"/>
                <w:sz w:val="16"/>
                <w:szCs w:val="16"/>
                <w:b w:val="1"/>
                <w:bCs w:val="1"/>
                <w:color w:val="auto"/>
              </w:rPr>
              <w:t>Houston, TX 77019</w:t>
            </w:r>
          </w:p>
        </w:tc>
        <w:tc>
          <w:tcPr>
            <w:tcW w:w="3080" w:type="dxa"/>
            <w:vAlign w:val="bottom"/>
          </w:tcPr>
          <w:p>
            <w:pPr>
              <w:spacing w:after="0"/>
              <w:rPr>
                <w:sz w:val="17"/>
                <w:szCs w:val="17"/>
                <w:color w:val="auto"/>
              </w:rPr>
            </w:pPr>
          </w:p>
        </w:tc>
      </w:tr>
      <w:tr>
        <w:trPr>
          <w:trHeight w:val="215"/>
        </w:trPr>
        <w:tc>
          <w:tcPr>
            <w:tcW w:w="3300" w:type="dxa"/>
            <w:vAlign w:val="bottom"/>
          </w:tcPr>
          <w:p>
            <w:pPr>
              <w:spacing w:after="0"/>
              <w:rPr>
                <w:sz w:val="18"/>
                <w:szCs w:val="18"/>
                <w:color w:val="auto"/>
              </w:rPr>
            </w:pPr>
          </w:p>
        </w:tc>
        <w:tc>
          <w:tcPr>
            <w:tcW w:w="4340" w:type="dxa"/>
            <w:vAlign w:val="bottom"/>
            <w:gridSpan w:val="5"/>
          </w:tcPr>
          <w:p>
            <w:pPr>
              <w:jc w:val="center"/>
              <w:ind w:right="200"/>
              <w:spacing w:after="0"/>
              <w:rPr>
                <w:sz w:val="20"/>
                <w:szCs w:val="20"/>
                <w:color w:val="auto"/>
              </w:rPr>
            </w:pPr>
            <w:r>
              <w:rPr>
                <w:rFonts w:ascii="Arial" w:cs="Arial" w:eastAsia="Arial" w:hAnsi="Arial"/>
                <w:sz w:val="16"/>
                <w:szCs w:val="16"/>
                <w:color w:val="auto"/>
              </w:rPr>
              <w:t>(Address of principal executive offices) (Zip Code)</w:t>
            </w:r>
          </w:p>
        </w:tc>
        <w:tc>
          <w:tcPr>
            <w:tcW w:w="3080" w:type="dxa"/>
            <w:vAlign w:val="bottom"/>
          </w:tcPr>
          <w:p>
            <w:pPr>
              <w:spacing w:after="0"/>
              <w:rPr>
                <w:sz w:val="18"/>
                <w:szCs w:val="18"/>
                <w:color w:val="auto"/>
              </w:rPr>
            </w:pPr>
          </w:p>
        </w:tc>
      </w:tr>
      <w:tr>
        <w:trPr>
          <w:trHeight w:val="325"/>
        </w:trPr>
        <w:tc>
          <w:tcPr>
            <w:tcW w:w="3300" w:type="dxa"/>
            <w:vAlign w:val="bottom"/>
          </w:tcPr>
          <w:p>
            <w:pPr>
              <w:spacing w:after="0"/>
              <w:rPr>
                <w:sz w:val="24"/>
                <w:szCs w:val="24"/>
                <w:color w:val="auto"/>
              </w:rPr>
            </w:pPr>
          </w:p>
        </w:tc>
        <w:tc>
          <w:tcPr>
            <w:tcW w:w="3120" w:type="dxa"/>
            <w:vAlign w:val="bottom"/>
            <w:gridSpan w:val="3"/>
          </w:tcPr>
          <w:p>
            <w:pPr>
              <w:jc w:val="center"/>
              <w:ind w:left="919"/>
              <w:spacing w:after="0"/>
              <w:rPr>
                <w:sz w:val="20"/>
                <w:szCs w:val="20"/>
                <w:color w:val="auto"/>
              </w:rPr>
            </w:pPr>
            <w:r>
              <w:rPr>
                <w:rFonts w:ascii="Arial" w:cs="Arial" w:eastAsia="Arial" w:hAnsi="Arial"/>
                <w:sz w:val="16"/>
                <w:szCs w:val="16"/>
                <w:b w:val="1"/>
                <w:bCs w:val="1"/>
                <w:color w:val="auto"/>
                <w:w w:val="98"/>
              </w:rPr>
              <w:t>(888) 211-6011</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5"/>
        </w:trPr>
        <w:tc>
          <w:tcPr>
            <w:tcW w:w="3300" w:type="dxa"/>
            <w:vAlign w:val="bottom"/>
          </w:tcPr>
          <w:p>
            <w:pPr>
              <w:spacing w:after="0"/>
              <w:rPr>
                <w:sz w:val="18"/>
                <w:szCs w:val="18"/>
                <w:color w:val="auto"/>
              </w:rPr>
            </w:pPr>
          </w:p>
        </w:tc>
        <w:tc>
          <w:tcPr>
            <w:tcW w:w="4340" w:type="dxa"/>
            <w:vAlign w:val="bottom"/>
            <w:gridSpan w:val="5"/>
          </w:tcPr>
          <w:p>
            <w:pPr>
              <w:jc w:val="center"/>
              <w:ind w:right="220"/>
              <w:spacing w:after="0"/>
              <w:rPr>
                <w:sz w:val="20"/>
                <w:szCs w:val="20"/>
                <w:color w:val="auto"/>
              </w:rPr>
            </w:pPr>
            <w:r>
              <w:rPr>
                <w:rFonts w:ascii="Arial" w:cs="Arial" w:eastAsia="Arial" w:hAnsi="Arial"/>
                <w:sz w:val="16"/>
                <w:szCs w:val="16"/>
                <w:color w:val="auto"/>
              </w:rPr>
              <w:t>(Registrant’s telephone number, including area code)</w:t>
            </w:r>
          </w:p>
        </w:tc>
        <w:tc>
          <w:tcPr>
            <w:tcW w:w="3080" w:type="dxa"/>
            <w:vAlign w:val="bottom"/>
          </w:tcPr>
          <w:p>
            <w:pPr>
              <w:spacing w:after="0"/>
              <w:rPr>
                <w:sz w:val="18"/>
                <w:szCs w:val="18"/>
                <w:color w:val="auto"/>
              </w:rPr>
            </w:pPr>
          </w:p>
        </w:tc>
      </w:tr>
    </w:tbl>
    <w:p>
      <w:pPr>
        <w:spacing w:after="0" w:line="150"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267970</wp:posOffset>
            </wp:positionV>
            <wp:extent cx="2537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88" w:lineRule="exact"/>
        <w:rPr>
          <w:sz w:val="24"/>
          <w:szCs w:val="24"/>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59"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9" w:lineRule="exact"/>
        <w:rPr>
          <w:sz w:val="24"/>
          <w:szCs w:val="24"/>
          <w:color w:val="auto"/>
        </w:rPr>
      </w:pPr>
    </w:p>
    <w:tbl>
      <w:tblPr>
        <w:tblLayout w:type="fixed"/>
        <w:tblInd w:w="80" w:type="dxa"/>
        <w:tblCellMar>
          <w:top w:w="0" w:type="dxa"/>
          <w:left w:w="0" w:type="dxa"/>
          <w:bottom w:w="0" w:type="dxa"/>
          <w:right w:w="0" w:type="dxa"/>
        </w:tblCellMar>
      </w:tblPr>
      <w:tr>
        <w:trPr>
          <w:trHeight w:val="223"/>
        </w:trPr>
        <w:tc>
          <w:tcPr>
            <w:tcW w:w="4140" w:type="dxa"/>
            <w:vAlign w:val="bottom"/>
            <w:vMerge w:val="restart"/>
          </w:tcPr>
          <w:p>
            <w:pPr>
              <w:ind w:left="1440"/>
              <w:spacing w:after="0"/>
              <w:rPr>
                <w:sz w:val="20"/>
                <w:szCs w:val="20"/>
                <w:color w:val="auto"/>
              </w:rPr>
            </w:pPr>
            <w:r>
              <w:rPr>
                <w:rFonts w:ascii="Arial" w:cs="Arial" w:eastAsia="Arial" w:hAnsi="Arial"/>
                <w:sz w:val="16"/>
                <w:szCs w:val="16"/>
                <w:b w:val="1"/>
                <w:bCs w:val="1"/>
                <w:color w:val="auto"/>
              </w:rPr>
              <w:t>Title of each class</w:t>
            </w:r>
          </w:p>
        </w:tc>
        <w:tc>
          <w:tcPr>
            <w:tcW w:w="140" w:type="dxa"/>
            <w:vAlign w:val="bottom"/>
            <w:vMerge w:val="restart"/>
          </w:tcPr>
          <w:p>
            <w:pPr>
              <w:spacing w:after="0"/>
              <w:rPr>
                <w:sz w:val="19"/>
                <w:szCs w:val="19"/>
                <w:color w:val="auto"/>
              </w:rPr>
            </w:pP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Trading Symbol(s)</w:t>
            </w:r>
          </w:p>
        </w:tc>
        <w:tc>
          <w:tcPr>
            <w:tcW w:w="41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66"/>
        </w:trPr>
        <w:tc>
          <w:tcPr>
            <w:tcW w:w="41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280" w:type="dxa"/>
            <w:vAlign w:val="bottom"/>
            <w:gridSpan w:val="2"/>
          </w:tcPr>
          <w:p>
            <w:pPr>
              <w:ind w:left="560"/>
              <w:spacing w:after="0"/>
              <w:rPr>
                <w:sz w:val="20"/>
                <w:szCs w:val="20"/>
                <w:color w:val="auto"/>
              </w:rPr>
            </w:pPr>
            <w:r>
              <w:rPr>
                <w:rFonts w:ascii="Arial" w:cs="Arial" w:eastAsia="Arial" w:hAnsi="Arial"/>
                <w:sz w:val="16"/>
                <w:szCs w:val="16"/>
                <w:color w:val="auto"/>
              </w:rPr>
              <w:t>Common stock, par value $0.001 per share</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TLN</w:t>
            </w:r>
          </w:p>
        </w:tc>
        <w:tc>
          <w:tcPr>
            <w:tcW w:w="41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bl>
    <w:p>
      <w:pPr>
        <w:spacing w:after="0" w:line="258" w:lineRule="exact"/>
        <w:rPr>
          <w:sz w:val="24"/>
          <w:szCs w:val="24"/>
          <w:color w:val="auto"/>
        </w:rPr>
      </w:pPr>
    </w:p>
    <w:p>
      <w:pPr>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CFR§230.405) or Rule 12b-2 of the Securities Exchange Act of 1934 (17 CFR §240.12b-2).</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5" w:lineRule="exact"/>
        <w:rPr>
          <w:sz w:val="24"/>
          <w:szCs w:val="24"/>
          <w:color w:val="auto"/>
        </w:rPr>
      </w:pPr>
    </w:p>
    <w:p>
      <w:pPr>
        <w:ind w:right="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772160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361" w:right="459" w:bottom="1440" w:gutter="0" w:footer="0" w:header="0"/>
        </w:sectPr>
      </w:pPr>
    </w:p>
    <w:bookmarkStart w:id="1" w:name="page2"/>
    <w:bookmarkEnd w:id="1"/>
    <w:p>
      <w:pPr>
        <w:spacing w:after="0" w:line="144" w:lineRule="exact"/>
        <w:rPr>
          <w:sz w:val="20"/>
          <w:szCs w:val="20"/>
          <w:color w:val="auto"/>
        </w:rPr>
      </w:pPr>
    </w:p>
    <w:p>
      <w:pPr>
        <w:ind w:left="980" w:right="220" w:hanging="1295"/>
        <w:spacing w:after="0" w:line="296" w:lineRule="auto"/>
        <w:tabs>
          <w:tab w:leader="none" w:pos="960" w:val="left"/>
        </w:tabs>
        <w:rPr>
          <w:sz w:val="20"/>
          <w:szCs w:val="20"/>
          <w:color w:val="auto"/>
        </w:rPr>
      </w:pPr>
      <w:r>
        <w:rPr>
          <w:rFonts w:ascii="Arial" w:cs="Arial" w:eastAsia="Arial" w:hAnsi="Arial"/>
          <w:sz w:val="16"/>
          <w:szCs w:val="16"/>
          <w:b w:val="1"/>
          <w:bCs w:val="1"/>
          <w:color w:val="auto"/>
        </w:rPr>
        <w:t>Item 5.02.</w:t>
        <w:tab/>
        <w:t>Departure of Directors or Certain Officers; Election of Directors; Appointment of Certain Officers; Compensatory Arrangements of Certain Officers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 Updates</w:t>
      </w:r>
    </w:p>
    <w:p>
      <w:pPr>
        <w:spacing w:after="0" w:line="167"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On December 15, 2025, as part of its coordinated, on-going succession and retention planning, Talen Energy Corporation (the “Company”) announced that the Company’s board of directors (the “Board”) has:</w:t>
      </w:r>
    </w:p>
    <w:p>
      <w:pPr>
        <w:spacing w:after="0" w:line="87" w:lineRule="exact"/>
        <w:rPr>
          <w:sz w:val="20"/>
          <w:szCs w:val="20"/>
          <w:color w:val="auto"/>
        </w:rPr>
      </w:pPr>
    </w:p>
    <w:p>
      <w:pPr>
        <w:ind w:left="660" w:right="200" w:hanging="328"/>
        <w:spacing w:after="0" w:line="263"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extended the term of the employment agreement of Mark “Mac” McFarland to serve as Chief Executive Officer of the Company through February 2027 with one year evergreen renewals thereafter;</w:t>
      </w: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appointed Terry L. Nutt as President of the Company, effective immediately;</w:t>
      </w:r>
    </w:p>
    <w:p>
      <w:pPr>
        <w:spacing w:after="0" w:line="154"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appointed Cole Muller as Chief Financial Officer of the Company, effective immediately;</w:t>
      </w:r>
    </w:p>
    <w:p>
      <w:pPr>
        <w:spacing w:after="0" w:line="180"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appointed Brad Berryman as Chief Operating Officer of the Company, effective immediately;</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appointed Dale Lebsack as Chief Asset Development Officer of the Company, effective immediately; and</w:t>
      </w:r>
    </w:p>
    <w:p>
      <w:pPr>
        <w:spacing w:after="0" w:line="167" w:lineRule="exact"/>
        <w:rPr>
          <w:rFonts w:ascii="Arial" w:cs="Arial" w:eastAsia="Arial" w:hAnsi="Arial"/>
          <w:sz w:val="16"/>
          <w:szCs w:val="16"/>
          <w:color w:val="auto"/>
        </w:rPr>
      </w:pPr>
    </w:p>
    <w:p>
      <w:pPr>
        <w:ind w:left="660" w:right="200" w:hanging="328"/>
        <w:spacing w:after="0" w:line="275"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extended the term of the employment agreements of certain other of the Company’s executive officers, including the Chief Administrative Officer, the Chief Development Officer and the Chief Commercial Officer through February 2027, in each case, with one year evergreen renewals thereafter.</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Concurrently therewith,</w:t>
      </w:r>
    </w:p>
    <w:p>
      <w:pPr>
        <w:spacing w:after="0" w:line="181"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Mr. McFarland resigned as President of the Company but will remain in his position as Chief Executive Officer and a member of the Board;</w:t>
      </w:r>
    </w:p>
    <w:p>
      <w:pPr>
        <w:spacing w:after="0" w:line="167" w:lineRule="exact"/>
        <w:rPr>
          <w:rFonts w:ascii="Arial" w:cs="Arial" w:eastAsia="Arial" w:hAnsi="Arial"/>
          <w:sz w:val="16"/>
          <w:szCs w:val="16"/>
          <w:color w:val="auto"/>
        </w:rPr>
      </w:pPr>
    </w:p>
    <w:p>
      <w:pPr>
        <w:ind w:left="660" w:right="100" w:hanging="328"/>
        <w:spacing w:after="0" w:line="30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Mr. Nutt resigned as Chief Financial Officer of the Company but will assist in the transition of his duties, acting as principal financial officer until the Company files its annual report for the fiscal year ending December 31, 2025;</w:t>
      </w:r>
    </w:p>
    <w:p>
      <w:pPr>
        <w:spacing w:after="0" w:line="87" w:lineRule="exact"/>
        <w:rPr>
          <w:rFonts w:ascii="Arial" w:cs="Arial" w:eastAsia="Arial" w:hAnsi="Arial"/>
          <w:sz w:val="16"/>
          <w:szCs w:val="16"/>
          <w:color w:val="auto"/>
        </w:rPr>
      </w:pPr>
    </w:p>
    <w:p>
      <w:pPr>
        <w:ind w:left="660" w:right="8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extended the term of the employment agreements of Messrs. Nutt, Muller, Berryman and Lebsack through February 2027, in each case, with one year evergreen renewals thereafter;</w:t>
      </w:r>
    </w:p>
    <w:p>
      <w:pPr>
        <w:spacing w:after="0" w:line="115" w:lineRule="exact"/>
        <w:rPr>
          <w:rFonts w:ascii="Arial" w:cs="Arial" w:eastAsia="Arial" w:hAnsi="Arial"/>
          <w:sz w:val="16"/>
          <w:szCs w:val="16"/>
          <w:color w:val="auto"/>
        </w:rPr>
      </w:pPr>
    </w:p>
    <w:p>
      <w:pPr>
        <w:ind w:left="660" w:right="12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John Wander, General Counsel and Corporate Secretary of the Company, gave the Company notice of his intent to retire at the end of June 2026; and</w:t>
      </w:r>
    </w:p>
    <w:p>
      <w:pPr>
        <w:spacing w:after="0" w:line="11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appointed Ed Casulli as Chief Nuclear Officer of the Company, effective immediately.</w:t>
      </w:r>
    </w:p>
    <w:p>
      <w:pPr>
        <w:spacing w:after="0" w:line="16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None of Messrs. Nutt, Muller or Berryman was appointed to his applicable position under any arrangement or understanding between him and any other person. There are no transactions with Messrs. Nutt, Muller or Berryman that would be reportable under Item 404(a) of Regulation S-K and no family relationships exist between any of Messrs. Nutt, Muller or Berryman and any of the directors or other officers of the Company. Mr. Wander’s retirement is not the result of any disagreement with the Company related to its operations, policies, or practices.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Biographies of Named Executive Officers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i w:val="1"/>
          <w:iCs w:val="1"/>
          <w:color w:val="auto"/>
        </w:rPr>
        <w:t>Mr. Nutt</w:t>
      </w:r>
      <w:r>
        <w:rPr>
          <w:rFonts w:ascii="Arial" w:cs="Arial" w:eastAsia="Arial" w:hAnsi="Arial"/>
          <w:sz w:val="16"/>
          <w:szCs w:val="16"/>
          <w:color w:val="auto"/>
        </w:rPr>
        <w:t>, age 49, had served as the Company’s Chief Financial Officer from July 2023 through his appointment as President. He has over 25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the energy industry, including time spent at independent power producers and energy trading firms. From 2018 until 2023, he served as Chief Financial Officer and Managing Director for EDF Trading North America (“EDF”), the energy commodity trading subsidiary of Électricité de France (EDF) S.A., a multinational energy utility headquartered in France. Prior to his service at EDF, Mr. Nutt served in multiple senior finance positions at Vistra Corporation (and its predecessor entities) (“Vistra”), including as Senior Vice President and Controller and Senior Vice President of Risk Management. Prior to his time at Vistra, Mr. Nutt worked in various finance roles at Dynegy Inc. Mr. Nutt earned his M.S. in Accounting and his B.B.A., summa cum laude, from Texas A&amp;M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144"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b w:val="1"/>
          <w:bCs w:val="1"/>
          <w:i w:val="1"/>
          <w:iCs w:val="1"/>
          <w:color w:val="auto"/>
        </w:rPr>
        <w:t>Mr. Muller</w:t>
      </w:r>
      <w:r>
        <w:rPr>
          <w:rFonts w:ascii="Arial" w:cs="Arial" w:eastAsia="Arial" w:hAnsi="Arial"/>
          <w:sz w:val="16"/>
          <w:szCs w:val="16"/>
          <w:color w:val="auto"/>
        </w:rPr>
        <w:t>, age 45, has most recently served as the Company’s Executive Vice President, Strategic Ventures prior to his appointment as Chief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Mr. Muller has been responsible for leading the Company’s strategic direction related to digital infrastructure development and data center contracting. Prior to that, he led the Company’s PJM Fossil business unit, where he was responsible for the Company’s eight gigawatts of PJM generation assets. Before joining the Company in 2018, he was an Associate Partner for McKinsey &amp; Co., advising energy clients, including the Company, on strategic opportunities and operational transformations. He also previously served as a submarine officer in the U.S. Navy. A graduate of the U.S. Naval Academy, Mr. Muller holds a Bachelor of Science degree in Mathematics. He received his MBA from The Wharton School, and his JD from the University of Pennsylvania.</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i w:val="1"/>
          <w:iCs w:val="1"/>
          <w:color w:val="auto"/>
        </w:rPr>
        <w:t>Mr. Berryman</w:t>
      </w:r>
      <w:r>
        <w:rPr>
          <w:rFonts w:ascii="Arial" w:cs="Arial" w:eastAsia="Arial" w:hAnsi="Arial"/>
          <w:sz w:val="16"/>
          <w:szCs w:val="16"/>
          <w:color w:val="auto"/>
        </w:rPr>
        <w:t>, age 57, has served as the Company’s senior vice president and Chief Nuclear Officer since September 2018, where he was responsible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overseeing all aspects of the Susquehanna nuclear power plant that the Company majority owns and operates. Mr. Berryman joined the Company in early 2017 in the role of site vice president for Susquehanna, where he was responsible for all plant operations and personnel. With over two decades of extensive commercial nuclear experience, Mr. Berryman has held positions of increasing importance spanning various technical, operational, training and financial capacities. Prior to joining the Company, he served as general manager at Turkey Point Nuclear Generating Station. He also held leadership roles at Wolf Creek Nuclear Operating Corporation, Palo Verde Nuclear Generating Station and Arkansas Nuclear One. In addition, he proudly served his country in the U.S. Navy as part of the submarine fast attack fleet. Mr. Berryman earned his B.S., summa cum laude, in Organizational Management from Central Baptist College.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and Transition and Retirement Arrangements – Named Executive Officers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Salary and Incentive Compensation Changes</w:t>
      </w:r>
    </w:p>
    <w:p>
      <w:pPr>
        <w:spacing w:after="0" w:line="165"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In connection with Messrs. McFarland’s, Nutt’s, Muller’s and Berryman’s appointments and the approval of their respective extended employment agreements, the Board set their salaries, target short-term annual incentive bonus and target grant date value of long-term incentive award amounts as follows:</w:t>
      </w:r>
    </w:p>
    <w:p>
      <w:pPr>
        <w:spacing w:after="0" w:line="15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Target STI</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Target LTI</w:t>
            </w:r>
          </w:p>
        </w:tc>
      </w:tr>
      <w:tr>
        <w:trPr>
          <w:trHeight w:val="211"/>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w:t>
            </w:r>
          </w:p>
        </w:tc>
        <w:tc>
          <w:tcPr>
            <w:tcW w:w="80" w:type="dxa"/>
            <w:vAlign w:val="bottom"/>
            <w:tcBorders>
              <w:bottom w:val="single" w:sz="8" w:color="E1E1E2"/>
            </w:tcBorders>
          </w:tcPr>
          <w:p>
            <w:pPr>
              <w:spacing w:after="0"/>
              <w:rPr>
                <w:sz w:val="18"/>
                <w:szCs w:val="18"/>
                <w:color w:val="auto"/>
              </w:rPr>
            </w:pPr>
          </w:p>
        </w:tc>
        <w:tc>
          <w:tcPr>
            <w:tcW w:w="238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Salary</w:t>
            </w:r>
          </w:p>
        </w:tc>
        <w:tc>
          <w:tcPr>
            <w:tcW w:w="100" w:type="dxa"/>
            <w:vAlign w:val="bottom"/>
            <w:tcBorders>
              <w:bottom w:val="single" w:sz="8" w:color="E1E1E2"/>
            </w:tcBorders>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of Salary)</w:t>
            </w:r>
          </w:p>
        </w:tc>
        <w:tc>
          <w:tcPr>
            <w:tcW w:w="100" w:type="dxa"/>
            <w:vAlign w:val="bottom"/>
            <w:tcBorders>
              <w:bottom w:val="single" w:sz="8" w:color="E1E1E2"/>
            </w:tcBorders>
          </w:tcPr>
          <w:p>
            <w:pPr>
              <w:spacing w:after="0"/>
              <w:rPr>
                <w:sz w:val="18"/>
                <w:szCs w:val="18"/>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of Salary)</w:t>
            </w:r>
          </w:p>
        </w:tc>
      </w:tr>
      <w:tr>
        <w:trPr>
          <w:trHeight w:val="190"/>
        </w:trPr>
        <w:tc>
          <w:tcPr>
            <w:tcW w:w="3740" w:type="dxa"/>
            <w:vAlign w:val="bottom"/>
            <w:tcBorders>
              <w:bottom w:val="single" w:sz="8" w:color="E1E1E2"/>
            </w:tcBorders>
            <w:gridSpan w:val="2"/>
            <w:shd w:val="clear" w:color="auto" w:fill="E1E1E2"/>
          </w:tcPr>
          <w:p>
            <w:pPr>
              <w:ind w:left="20"/>
              <w:spacing w:after="0"/>
              <w:rPr>
                <w:sz w:val="20"/>
                <w:szCs w:val="20"/>
                <w:color w:val="auto"/>
              </w:rPr>
            </w:pPr>
            <w:r>
              <w:rPr>
                <w:rFonts w:ascii="Arial" w:cs="Arial" w:eastAsia="Arial" w:hAnsi="Arial"/>
                <w:sz w:val="14"/>
                <w:szCs w:val="14"/>
                <w:color w:val="auto"/>
              </w:rPr>
              <w:t>Mac McFarland</w:t>
            </w:r>
          </w:p>
        </w:tc>
        <w:tc>
          <w:tcPr>
            <w:tcW w:w="2380" w:type="dxa"/>
            <w:vAlign w:val="bottom"/>
            <w:tcBorders>
              <w:bottom w:val="single" w:sz="8" w:color="E1E1E2"/>
            </w:tcBorders>
            <w:shd w:val="clear" w:color="auto" w:fill="E1E1E2"/>
          </w:tcPr>
          <w:p>
            <w:pPr>
              <w:jc w:val="center"/>
              <w:spacing w:after="0"/>
              <w:rPr>
                <w:sz w:val="20"/>
                <w:szCs w:val="20"/>
                <w:color w:val="auto"/>
              </w:rPr>
            </w:pPr>
            <w:r>
              <w:rPr>
                <w:rFonts w:ascii="Arial" w:cs="Arial" w:eastAsia="Arial" w:hAnsi="Arial"/>
                <w:sz w:val="14"/>
                <w:szCs w:val="14"/>
                <w:color w:val="auto"/>
              </w:rPr>
              <w:t>$1,400,000</w:t>
            </w:r>
          </w:p>
        </w:tc>
        <w:tc>
          <w:tcPr>
            <w:tcW w:w="100" w:type="dxa"/>
            <w:vAlign w:val="bottom"/>
            <w:tcBorders>
              <w:bottom w:val="single" w:sz="8" w:color="E1E1E2"/>
            </w:tcBorders>
            <w:shd w:val="clear" w:color="auto" w:fill="E1E1E2"/>
          </w:tcPr>
          <w:p>
            <w:pPr>
              <w:spacing w:after="0"/>
              <w:rPr>
                <w:sz w:val="16"/>
                <w:szCs w:val="16"/>
                <w:color w:val="auto"/>
              </w:rPr>
            </w:pPr>
          </w:p>
        </w:tc>
        <w:tc>
          <w:tcPr>
            <w:tcW w:w="2380" w:type="dxa"/>
            <w:vAlign w:val="bottom"/>
            <w:tcBorders>
              <w:bottom w:val="single" w:sz="8" w:color="E1E1E2"/>
            </w:tcBorders>
            <w:shd w:val="clear" w:color="auto" w:fill="E1E1E2"/>
          </w:tcPr>
          <w:p>
            <w:pPr>
              <w:jc w:val="center"/>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E1E1E2"/>
            </w:tcBorders>
            <w:shd w:val="clear" w:color="auto" w:fill="E1E1E2"/>
          </w:tcPr>
          <w:p>
            <w:pPr>
              <w:spacing w:after="0"/>
              <w:rPr>
                <w:sz w:val="16"/>
                <w:szCs w:val="16"/>
                <w:color w:val="auto"/>
              </w:rPr>
            </w:pPr>
          </w:p>
        </w:tc>
        <w:tc>
          <w:tcPr>
            <w:tcW w:w="2400" w:type="dxa"/>
            <w:vAlign w:val="bottom"/>
            <w:tcBorders>
              <w:bottom w:val="single" w:sz="8" w:color="E1E1E2"/>
            </w:tcBorders>
            <w:shd w:val="clear" w:color="auto" w:fill="E1E1E2"/>
          </w:tcPr>
          <w:p>
            <w:pPr>
              <w:jc w:val="center"/>
              <w:spacing w:after="0"/>
              <w:rPr>
                <w:sz w:val="20"/>
                <w:szCs w:val="20"/>
                <w:color w:val="auto"/>
              </w:rPr>
            </w:pPr>
            <w:r>
              <w:rPr>
                <w:rFonts w:ascii="Arial" w:cs="Arial" w:eastAsia="Arial" w:hAnsi="Arial"/>
                <w:sz w:val="14"/>
                <w:szCs w:val="14"/>
                <w:color w:val="auto"/>
              </w:rPr>
              <w:t>700%</w:t>
            </w:r>
          </w:p>
        </w:tc>
      </w:tr>
      <w:tr>
        <w:trPr>
          <w:trHeight w:val="194"/>
        </w:trPr>
        <w:tc>
          <w:tcPr>
            <w:tcW w:w="3740" w:type="dxa"/>
            <w:vAlign w:val="bottom"/>
            <w:gridSpan w:val="2"/>
          </w:tcPr>
          <w:p>
            <w:pPr>
              <w:ind w:left="20"/>
              <w:spacing w:after="0"/>
              <w:rPr>
                <w:sz w:val="20"/>
                <w:szCs w:val="20"/>
                <w:color w:val="auto"/>
              </w:rPr>
            </w:pPr>
            <w:r>
              <w:rPr>
                <w:rFonts w:ascii="Arial" w:cs="Arial" w:eastAsia="Arial" w:hAnsi="Arial"/>
                <w:sz w:val="14"/>
                <w:szCs w:val="14"/>
                <w:color w:val="auto"/>
              </w:rPr>
              <w:t>Terry Nutt</w:t>
            </w:r>
          </w:p>
        </w:tc>
        <w:tc>
          <w:tcPr>
            <w:tcW w:w="2380" w:type="dxa"/>
            <w:vAlign w:val="bottom"/>
          </w:tcPr>
          <w:p>
            <w:pPr>
              <w:jc w:val="center"/>
              <w:spacing w:after="0"/>
              <w:rPr>
                <w:sz w:val="20"/>
                <w:szCs w:val="20"/>
                <w:color w:val="auto"/>
              </w:rPr>
            </w:pPr>
            <w:r>
              <w:rPr>
                <w:rFonts w:ascii="Arial" w:cs="Arial" w:eastAsia="Arial" w:hAnsi="Arial"/>
                <w:sz w:val="14"/>
                <w:szCs w:val="14"/>
                <w:color w:val="auto"/>
              </w:rPr>
              <w:t>$925,000</w:t>
            </w:r>
          </w:p>
        </w:tc>
        <w:tc>
          <w:tcPr>
            <w:tcW w:w="10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Arial" w:cs="Arial" w:eastAsia="Arial" w:hAnsi="Arial"/>
                <w:sz w:val="14"/>
                <w:szCs w:val="14"/>
                <w:color w:val="auto"/>
              </w:rPr>
              <w:t>600%</w:t>
            </w:r>
          </w:p>
        </w:tc>
      </w:tr>
      <w:tr>
        <w:trPr>
          <w:trHeight w:val="22"/>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740" w:type="dxa"/>
            <w:vAlign w:val="bottom"/>
            <w:tcBorders>
              <w:bottom w:val="single" w:sz="8" w:color="E1E1E2"/>
            </w:tcBorders>
            <w:gridSpan w:val="2"/>
            <w:shd w:val="clear" w:color="auto" w:fill="E1E1E2"/>
          </w:tcPr>
          <w:p>
            <w:pPr>
              <w:ind w:left="20"/>
              <w:spacing w:after="0"/>
              <w:rPr>
                <w:sz w:val="20"/>
                <w:szCs w:val="20"/>
                <w:color w:val="auto"/>
              </w:rPr>
            </w:pPr>
            <w:r>
              <w:rPr>
                <w:rFonts w:ascii="Arial" w:cs="Arial" w:eastAsia="Arial" w:hAnsi="Arial"/>
                <w:sz w:val="14"/>
                <w:szCs w:val="14"/>
                <w:color w:val="auto"/>
              </w:rPr>
              <w:t>Cole Muller</w:t>
            </w:r>
          </w:p>
        </w:tc>
        <w:tc>
          <w:tcPr>
            <w:tcW w:w="2380" w:type="dxa"/>
            <w:vAlign w:val="bottom"/>
            <w:tcBorders>
              <w:bottom w:val="single" w:sz="8" w:color="E1E1E2"/>
            </w:tcBorders>
            <w:shd w:val="clear" w:color="auto" w:fill="E1E1E2"/>
          </w:tcPr>
          <w:p>
            <w:pPr>
              <w:jc w:val="center"/>
              <w:spacing w:after="0"/>
              <w:rPr>
                <w:sz w:val="20"/>
                <w:szCs w:val="20"/>
                <w:color w:val="auto"/>
              </w:rPr>
            </w:pPr>
            <w:r>
              <w:rPr>
                <w:rFonts w:ascii="Arial" w:cs="Arial" w:eastAsia="Arial" w:hAnsi="Arial"/>
                <w:sz w:val="14"/>
                <w:szCs w:val="14"/>
                <w:color w:val="auto"/>
              </w:rPr>
              <w:t>$725,000</w:t>
            </w:r>
          </w:p>
        </w:tc>
        <w:tc>
          <w:tcPr>
            <w:tcW w:w="100" w:type="dxa"/>
            <w:vAlign w:val="bottom"/>
            <w:tcBorders>
              <w:bottom w:val="single" w:sz="8" w:color="E1E1E2"/>
            </w:tcBorders>
            <w:shd w:val="clear" w:color="auto" w:fill="E1E1E2"/>
          </w:tcPr>
          <w:p>
            <w:pPr>
              <w:spacing w:after="0"/>
              <w:rPr>
                <w:sz w:val="17"/>
                <w:szCs w:val="17"/>
                <w:color w:val="auto"/>
              </w:rPr>
            </w:pPr>
          </w:p>
        </w:tc>
        <w:tc>
          <w:tcPr>
            <w:tcW w:w="2380" w:type="dxa"/>
            <w:vAlign w:val="bottom"/>
            <w:tcBorders>
              <w:bottom w:val="single" w:sz="8" w:color="E1E1E2"/>
            </w:tcBorders>
            <w:shd w:val="clear" w:color="auto" w:fill="E1E1E2"/>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E1E1E2"/>
            </w:tcBorders>
            <w:shd w:val="clear" w:color="auto" w:fill="E1E1E2"/>
          </w:tcPr>
          <w:p>
            <w:pPr>
              <w:spacing w:after="0"/>
              <w:rPr>
                <w:sz w:val="17"/>
                <w:szCs w:val="17"/>
                <w:color w:val="auto"/>
              </w:rPr>
            </w:pPr>
          </w:p>
        </w:tc>
        <w:tc>
          <w:tcPr>
            <w:tcW w:w="2400" w:type="dxa"/>
            <w:vAlign w:val="bottom"/>
            <w:tcBorders>
              <w:bottom w:val="single" w:sz="8" w:color="E1E1E2"/>
            </w:tcBorders>
            <w:shd w:val="clear" w:color="auto" w:fill="E1E1E2"/>
          </w:tcPr>
          <w:p>
            <w:pPr>
              <w:jc w:val="center"/>
              <w:spacing w:after="0"/>
              <w:rPr>
                <w:sz w:val="20"/>
                <w:szCs w:val="20"/>
                <w:color w:val="auto"/>
              </w:rPr>
            </w:pPr>
            <w:r>
              <w:rPr>
                <w:rFonts w:ascii="Arial" w:cs="Arial" w:eastAsia="Arial" w:hAnsi="Arial"/>
                <w:sz w:val="14"/>
                <w:szCs w:val="14"/>
                <w:color w:val="auto"/>
              </w:rPr>
              <w:t>600%</w:t>
            </w:r>
          </w:p>
        </w:tc>
      </w:tr>
      <w:tr>
        <w:trPr>
          <w:trHeight w:val="194"/>
        </w:trPr>
        <w:tc>
          <w:tcPr>
            <w:tcW w:w="3740" w:type="dxa"/>
            <w:vAlign w:val="bottom"/>
            <w:gridSpan w:val="2"/>
          </w:tcPr>
          <w:p>
            <w:pPr>
              <w:ind w:left="20"/>
              <w:spacing w:after="0"/>
              <w:rPr>
                <w:sz w:val="20"/>
                <w:szCs w:val="20"/>
                <w:color w:val="auto"/>
              </w:rPr>
            </w:pPr>
            <w:r>
              <w:rPr>
                <w:rFonts w:ascii="Arial" w:cs="Arial" w:eastAsia="Arial" w:hAnsi="Arial"/>
                <w:sz w:val="14"/>
                <w:szCs w:val="14"/>
                <w:color w:val="auto"/>
              </w:rPr>
              <w:t>Brad Berryman</w:t>
            </w:r>
          </w:p>
        </w:tc>
        <w:tc>
          <w:tcPr>
            <w:tcW w:w="2380" w:type="dxa"/>
            <w:vAlign w:val="bottom"/>
          </w:tcPr>
          <w:p>
            <w:pPr>
              <w:jc w:val="center"/>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Arial" w:cs="Arial" w:eastAsia="Arial" w:hAnsi="Arial"/>
                <w:sz w:val="14"/>
                <w:szCs w:val="14"/>
                <w:color w:val="auto"/>
              </w:rPr>
              <w:t>450%</w:t>
            </w:r>
          </w:p>
        </w:tc>
      </w:tr>
      <w:tr>
        <w:trPr>
          <w:trHeight w:val="22"/>
        </w:trPr>
        <w:tc>
          <w:tcPr>
            <w:tcW w:w="3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Employment Agreements</w:t>
      </w:r>
    </w:p>
    <w:p>
      <w:pPr>
        <w:spacing w:after="0" w:line="16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In connection with Messrs. McFarland’s, Nutt’s, Muller’s and Berryman’s appointments, each named executive officer entered into an Amended and Restated Employment Agreement, dated as of December 12, 2025 (the “Executive Employment Agreement”), with an initial term through February 28, 2027 (subject to automatic annual renewals thereafter unless the executive or the Company provide 90 days’ written notice of their intent not to extend the term).</w:t>
      </w:r>
    </w:p>
    <w:p>
      <w:pPr>
        <w:spacing w:after="0" w:line="12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Further, a portion of the executive’s PSUs and time-based restricted stock units (“RSUs”) that are scheduled to vest and settle in calendar year 2026 will be settled in cash in an amount equal to 60% of the net after-tax value of each such award, subject to a cap on cash settlement equal to 60% of the net after-tax value that would result from such award if the Company’s common stock on the vesting date was equal to $400.00, and subject to the ability of the Compensation Committee to modify the portion that is cash-settled if it determines that cash settlement would materially and adversely affect the Company (the “Cash Settlement”). Any shares received in settlement of the executive’s PSUs and RSUs that are scheduled to vest in 2026 will be subject to a lock-up through November 13, 2026.</w:t>
      </w:r>
    </w:p>
    <w:p>
      <w:pPr>
        <w:spacing w:after="0" w:line="12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addition, the Executive Employment Agreement provides that, subject to the approval of the Board or the Compensation Committee, the executive’s 2026 long-term incentive awards will consist of (i) an ordinary-course grant of RSUs and PSUs with an aggregate grant date fair value equal to the executive’s annual long-term incentive award target (as described above) with a three-year vesting period (i.e., 2029), and (ii) a one-time grant of RSUs and PSUs with an aggregate grant-date fair value equal to 67% of the executive’s annual long-term incentive award target with a two-year vesting period (i.e., 2028). The awards granted in 2026 will consist of no more than 70% PSUs, with the remainder being RSUs and will be granted on terms described in Exhibit A to the Executive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the event an executive’s employment is terminated by the Company without Cause, the Company does not renew the term of the applicable Executive Employment Agreement, or upon an executive’s resignation for Good Reason (each, as defined in the Executive Employment Agreement and herein, a “Qualifying Termination”) and such termination is not on or within 18 months following a Change of Control (as defined in the Executive Employment Agreement), the applicable executive will receive any earned but unpaid annual bonus for the year preceding the year in which the termination occurs and, subject to the executive’s execution and nonrevocation of a release of claims in favor of the Company and continued compliance with the executive’s restrictive covenant obligations, (i) the sum of the executive’s annual base salary and target annual bonus (in the case of Mr. McFarland, two times the sum of the executive’s annual base salary and target annual bonus), payable over 12 months following the Qualifying Termination, (ii) a pro-rated target bonus amount for the year of termination, and (iii) eligibility to continue on the Company’s health plan at a monthly rate equal to the Company’s full Consolidated Omnibus Budget Reconciliation Act (“COBRA”) rates for up to 36 months at the executive’s sole expense (the “COBRA Continuation”). If the executive experiences a Qualifying Termination within 18 months following a Change of Control, the executive will receive any earned but unpaid annual bonus for the year preceding the year in which the termination occurs and, subject to the executive’s execution and nonrevocation of a release in favor of the Company and continued compliance with the executive’s restrictive covenant obligations, (i) a lump sum equal to 2.99 times the sum of the executive’s annual base salary and the executive’s target annual bonus amount, (ii) a pro-rated target bonus amount for the year of the executive’s termination, and (iii) eligibility for COBRA Continuation at a monthly rate that is no greater than the premiums the executive paid for coverage under the Company’s group health plan immediately prior to the termination date for up to 36 months. In the event the executive’s employment is terminated due to the executive’s death or disability, the executive shall receive (i) any earned but unpaid annual bonus for the year preceding the year in which the termination occurs, (ii) a prorated portion of the executive’s target bonus for the year of termination, and (iii) eligibility for COBRA Continuation at a monthly rate equal to the Company’s full COBRA rates for up to 36 months. Additionally, where an executive provides 90 days’ notice on a non-renewal of the term of the Executive Employment Agreement, the executive shall be entitled to receive any earned but unpaid annual bonus for the year preceding the year in which the termination occurs, subject to the executive’s execution and nonrevocation of a release of claims in favor of the Company and continued compliance with the executive’s restrictive covenant obligations.</w:t>
      </w:r>
    </w:p>
    <w:p>
      <w:pPr>
        <w:spacing w:after="0" w:line="329"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Under the terms of the Executive Employment Agreement, each executive is subject to perpetual confidentiality, assignment of intellectual property and non-disparagement covenants as well as non-competition and non-solicitation covenants applicable during employment and for one year thereafter.</w:t>
      </w:r>
    </w:p>
    <w:p>
      <w:pPr>
        <w:spacing w:after="0" w:line="8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foregoing description is qualified in its entirety by reference to the full text of the applicable Executive Employment Agreement, copies of which are filed as Exhibits 10.1, 10.2, 10.3 and 10.4 to this Current Report on Form 8-K (this “Report”) and which are incorporated by reference into this Item 5.02.</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Transition and Retirement Agreement</w:t>
      </w:r>
    </w:p>
    <w:p>
      <w:pPr>
        <w:spacing w:after="0" w:line="16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connection with Mr. Wander’s retirement, Mr. Wander entered into a transition and retirement agreement with the Company, dated as of December 12, 2025 (the “Transition Agreement”), which provides for a transition from his current role as General Counsel and Corporate Secretary to a role as Senior Advisor to the Company following the May 2026 vesting of his performance based stock units granted in 2023. Mr. Wander will be paid $12,500 for his services as a Senior Advisor, and will continue to receive his current benefits through June 30, 2026 (other than any new grants of equity). He will receive (i) the Cash Settlement on the same terms received by other Company executives (as described above) and (ii) at separation, subject to his execution and non-revocation of a general release of claims in favor of the Company and his continued compliance with his restrictive covenant obligations to the Company, its subsidiaries, and affiliates, he will receive (x) the COBRA Continuation for up to 36 months and (y) a pro-rated annual bonus paid at target for the 2026 fiscal year.</w:t>
      </w:r>
    </w:p>
    <w:p>
      <w:pPr>
        <w:spacing w:after="0" w:line="319"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The foregoing description is qualified in its entirety by reference to the full text of the Transition Agreement, a copy of which is filed as Exhibit 10.5 to this Report and which is incorporated by reference into this Item 5.02.</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167"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On December 15, 2025, the Company issued a press release regarding these matters, a copy of which is furnished as Exhibit 99.1 to this Report and which is incorporated by reference into this Item 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4"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information provided under this Item 7.01 and in Exhibit 99.1 hereto is being furnished and shall not be deemed “filed” for the purpose of Section 18 of the Securities Exchange Act of 1934, as amended (the “Exchange Act”), or otherwise subject to the liabilities of that Section. Such information shall not be incorporated by reference into any registration statement or other document pursuant to the Securities Act of 1934, as amended, or the Exchange Act, except as set forth by specific reference in such filing.</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40" w:type="dxa"/>
            <w:vAlign w:val="bottom"/>
          </w:tcPr>
          <w:p>
            <w:pPr>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i w:val="1"/>
                <w:iCs w:val="1"/>
                <w:color w:val="auto"/>
              </w:rPr>
              <w:t>Exhibits.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0"/>
        </w:trPr>
        <w:tc>
          <w:tcPr>
            <w:tcW w:w="144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9720" w:type="dxa"/>
            <w:vAlign w:val="bottom"/>
            <w:gridSpan w:val="10"/>
          </w:tcPr>
          <w:p>
            <w:pPr>
              <w:spacing w:after="0"/>
              <w:rPr>
                <w:sz w:val="20"/>
                <w:szCs w:val="20"/>
                <w:color w:val="auto"/>
              </w:rPr>
            </w:pPr>
            <w:r>
              <w:rPr>
                <w:rFonts w:ascii="Arial" w:cs="Arial" w:eastAsia="Arial" w:hAnsi="Arial"/>
                <w:sz w:val="16"/>
                <w:szCs w:val="16"/>
                <w:b w:val="1"/>
                <w:bCs w:val="1"/>
                <w:color w:val="auto"/>
              </w:rPr>
              <w:t>Description.</w:t>
            </w:r>
          </w:p>
        </w:tc>
      </w:tr>
      <w:tr>
        <w:trPr>
          <w:trHeight w:val="183"/>
        </w:trPr>
        <w:tc>
          <w:tcPr>
            <w:tcW w:w="1440" w:type="dxa"/>
            <w:vAlign w:val="bottom"/>
          </w:tcPr>
          <w:p>
            <w:pPr>
              <w:ind w:left="20"/>
              <w:spacing w:after="0"/>
              <w:rPr>
                <w:sz w:val="20"/>
                <w:szCs w:val="20"/>
                <w:color w:val="auto"/>
              </w:rPr>
            </w:pPr>
            <w:r>
              <w:rPr>
                <w:rFonts w:ascii="Arial" w:cs="Arial" w:eastAsia="Arial" w:hAnsi="Arial"/>
                <w:sz w:val="16"/>
                <w:szCs w:val="16"/>
                <w:color w:val="auto"/>
              </w:rPr>
              <w:t>10.1</w:t>
            </w:r>
            <w:r>
              <w:rPr>
                <w:rFonts w:ascii="Times New Roman" w:cs="Times New Roman" w:eastAsia="Times New Roman" w:hAnsi="Times New Roman"/>
                <w:sz w:val="9"/>
                <w:szCs w:val="9"/>
                <w:color w:val="auto"/>
              </w:rPr>
              <w:t>†^</w:t>
            </w:r>
          </w:p>
        </w:tc>
        <w:tc>
          <w:tcPr>
            <w:tcW w:w="9720" w:type="dxa"/>
            <w:vAlign w:val="bottom"/>
            <w:gridSpan w:val="10"/>
          </w:tcPr>
          <w:p>
            <w:pPr>
              <w:spacing w:after="0"/>
              <w:rPr>
                <w:sz w:val="20"/>
                <w:szCs w:val="20"/>
                <w:color w:val="auto"/>
              </w:rPr>
            </w:pPr>
            <w:r>
              <w:rPr>
                <w:rFonts w:ascii="Arial" w:cs="Arial" w:eastAsia="Arial" w:hAnsi="Arial"/>
                <w:sz w:val="16"/>
                <w:szCs w:val="16"/>
                <w:color w:val="0000FF"/>
              </w:rPr>
              <w:t>Amended and Restated Employment Agreement, dated as of December 12, 2025, by and between Talen Energy Corporation and Mark</w:t>
            </w:r>
          </w:p>
        </w:tc>
      </w:tr>
      <w:tr>
        <w:trPr>
          <w:trHeight w:val="169"/>
        </w:trPr>
        <w:tc>
          <w:tcPr>
            <w:tcW w:w="1440" w:type="dxa"/>
            <w:vAlign w:val="bottom"/>
          </w:tcPr>
          <w:p>
            <w:pPr>
              <w:spacing w:after="0"/>
              <w:rPr>
                <w:sz w:val="14"/>
                <w:szCs w:val="14"/>
                <w:color w:val="auto"/>
              </w:rPr>
            </w:pPr>
          </w:p>
        </w:tc>
        <w:tc>
          <w:tcPr>
            <w:tcW w:w="128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“Mac” McFarland.</w:t>
            </w:r>
          </w:p>
        </w:tc>
        <w:tc>
          <w:tcPr>
            <w:tcW w:w="842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6"/>
                <w:szCs w:val="16"/>
                <w:color w:val="auto"/>
              </w:rPr>
              <w:t>10.2</w:t>
            </w:r>
            <w:r>
              <w:rPr>
                <w:rFonts w:ascii="Times New Roman" w:cs="Times New Roman" w:eastAsia="Times New Roman" w:hAnsi="Times New Roman"/>
                <w:sz w:val="9"/>
                <w:szCs w:val="9"/>
                <w:color w:val="auto"/>
              </w:rPr>
              <w:t>†^</w:t>
            </w:r>
          </w:p>
        </w:tc>
        <w:tc>
          <w:tcPr>
            <w:tcW w:w="9720" w:type="dxa"/>
            <w:vAlign w:val="bottom"/>
            <w:gridSpan w:val="10"/>
          </w:tcPr>
          <w:p>
            <w:pPr>
              <w:spacing w:after="0"/>
              <w:rPr>
                <w:sz w:val="20"/>
                <w:szCs w:val="20"/>
                <w:color w:val="auto"/>
              </w:rPr>
            </w:pPr>
            <w:r>
              <w:rPr>
                <w:rFonts w:ascii="Arial" w:cs="Arial" w:eastAsia="Arial" w:hAnsi="Arial"/>
                <w:sz w:val="16"/>
                <w:szCs w:val="16"/>
                <w:color w:val="0000FF"/>
              </w:rPr>
              <w:t>Amended and Restated Employment Agreement, dated as of December 12, 2025, by and between Talen Energy Corporation and Terry</w:t>
            </w:r>
          </w:p>
        </w:tc>
      </w:tr>
      <w:tr>
        <w:trPr>
          <w:trHeight w:val="169"/>
        </w:trPr>
        <w:tc>
          <w:tcPr>
            <w:tcW w:w="1440" w:type="dxa"/>
            <w:vAlign w:val="bottom"/>
          </w:tcPr>
          <w:p>
            <w:pPr>
              <w:spacing w:after="0"/>
              <w:rPr>
                <w:sz w:val="14"/>
                <w:szCs w:val="14"/>
                <w:color w:val="auto"/>
              </w:rPr>
            </w:pPr>
          </w:p>
        </w:tc>
        <w:tc>
          <w:tcPr>
            <w:tcW w:w="9700" w:type="dxa"/>
            <w:vAlign w:val="bottom"/>
            <w:tcBorders>
              <w:top w:val="single" w:sz="8" w:color="0000FF"/>
            </w:tcBorders>
            <w:gridSpan w:val="9"/>
          </w:tcPr>
          <w:p>
            <w:pPr>
              <w:spacing w:after="0" w:line="169" w:lineRule="exact"/>
              <w:rPr>
                <w:sz w:val="20"/>
                <w:szCs w:val="20"/>
                <w:color w:val="auto"/>
              </w:rPr>
            </w:pPr>
            <w:r>
              <w:rPr>
                <w:rFonts w:ascii="Arial" w:cs="Arial" w:eastAsia="Arial" w:hAnsi="Arial"/>
                <w:sz w:val="16"/>
                <w:szCs w:val="16"/>
                <w:color w:val="0000FF"/>
              </w:rPr>
              <w:t>L. Nutt.</w:t>
            </w:r>
          </w:p>
        </w:tc>
        <w:tc>
          <w:tcPr>
            <w:tcW w:w="20" w:type="dxa"/>
            <w:vAlign w:val="bottom"/>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6"/>
                <w:szCs w:val="16"/>
                <w:color w:val="auto"/>
              </w:rPr>
              <w:t>10.3</w:t>
            </w:r>
            <w:r>
              <w:rPr>
                <w:rFonts w:ascii="Times New Roman" w:cs="Times New Roman" w:eastAsia="Times New Roman" w:hAnsi="Times New Roman"/>
                <w:sz w:val="9"/>
                <w:szCs w:val="9"/>
                <w:color w:val="auto"/>
              </w:rPr>
              <w:t>†^</w:t>
            </w:r>
          </w:p>
        </w:tc>
        <w:tc>
          <w:tcPr>
            <w:tcW w:w="9720" w:type="dxa"/>
            <w:vAlign w:val="bottom"/>
            <w:gridSpan w:val="10"/>
          </w:tcPr>
          <w:p>
            <w:pPr>
              <w:spacing w:after="0"/>
              <w:rPr>
                <w:sz w:val="20"/>
                <w:szCs w:val="20"/>
                <w:color w:val="auto"/>
              </w:rPr>
            </w:pPr>
            <w:r>
              <w:rPr>
                <w:rFonts w:ascii="Arial" w:cs="Arial" w:eastAsia="Arial" w:hAnsi="Arial"/>
                <w:sz w:val="16"/>
                <w:szCs w:val="16"/>
                <w:color w:val="0000FF"/>
              </w:rPr>
              <w:t>Amended and Restated Employment Agreement, dated as of December 12, 2025, by and between Talen Energy Corporation and Cole</w:t>
            </w:r>
          </w:p>
        </w:tc>
      </w:tr>
      <w:tr>
        <w:trPr>
          <w:trHeight w:val="169"/>
        </w:trPr>
        <w:tc>
          <w:tcPr>
            <w:tcW w:w="1440" w:type="dxa"/>
            <w:vAlign w:val="bottom"/>
          </w:tcPr>
          <w:p>
            <w:pPr>
              <w:spacing w:after="0"/>
              <w:rPr>
                <w:sz w:val="14"/>
                <w:szCs w:val="14"/>
                <w:color w:val="auto"/>
              </w:rPr>
            </w:pPr>
          </w:p>
        </w:tc>
        <w:tc>
          <w:tcPr>
            <w:tcW w:w="966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Muller.</w:t>
            </w: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6"/>
                <w:szCs w:val="16"/>
                <w:color w:val="auto"/>
              </w:rPr>
              <w:t>10.4</w:t>
            </w:r>
            <w:r>
              <w:rPr>
                <w:rFonts w:ascii="Times New Roman" w:cs="Times New Roman" w:eastAsia="Times New Roman" w:hAnsi="Times New Roman"/>
                <w:sz w:val="9"/>
                <w:szCs w:val="9"/>
                <w:color w:val="auto"/>
              </w:rPr>
              <w:t>†^</w:t>
            </w:r>
          </w:p>
        </w:tc>
        <w:tc>
          <w:tcPr>
            <w:tcW w:w="9720" w:type="dxa"/>
            <w:vAlign w:val="bottom"/>
            <w:gridSpan w:val="10"/>
          </w:tcPr>
          <w:p>
            <w:pPr>
              <w:spacing w:after="0"/>
              <w:rPr>
                <w:sz w:val="20"/>
                <w:szCs w:val="20"/>
                <w:color w:val="auto"/>
              </w:rPr>
            </w:pPr>
            <w:r>
              <w:rPr>
                <w:rFonts w:ascii="Arial" w:cs="Arial" w:eastAsia="Arial" w:hAnsi="Arial"/>
                <w:sz w:val="16"/>
                <w:szCs w:val="16"/>
                <w:color w:val="0000FF"/>
              </w:rPr>
              <w:t>Amended and Restated Employment Agreement, dated as of December 12, 2025, by and between Talen Energy Corporation and Brad</w:t>
            </w:r>
          </w:p>
        </w:tc>
      </w:tr>
      <w:tr>
        <w:trPr>
          <w:trHeight w:val="169"/>
        </w:trPr>
        <w:tc>
          <w:tcPr>
            <w:tcW w:w="1440" w:type="dxa"/>
            <w:vAlign w:val="bottom"/>
          </w:tcPr>
          <w:p>
            <w:pPr>
              <w:spacing w:after="0"/>
              <w:rPr>
                <w:sz w:val="14"/>
                <w:szCs w:val="14"/>
                <w:color w:val="auto"/>
              </w:rPr>
            </w:pPr>
          </w:p>
        </w:tc>
        <w:tc>
          <w:tcPr>
            <w:tcW w:w="76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rPr>
              <w:t>Berryman.</w:t>
            </w:r>
          </w:p>
        </w:tc>
        <w:tc>
          <w:tcPr>
            <w:tcW w:w="8920" w:type="dxa"/>
            <w:vAlign w:val="bottom"/>
            <w:tcBorders>
              <w:top w:val="single" w:sz="8" w:color="0000FF"/>
            </w:tcBorders>
            <w:gridSpan w:val="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6"/>
                <w:szCs w:val="16"/>
                <w:color w:val="auto"/>
              </w:rPr>
              <w:t>10.5</w:t>
            </w:r>
            <w:r>
              <w:rPr>
                <w:rFonts w:ascii="Times New Roman" w:cs="Times New Roman" w:eastAsia="Times New Roman" w:hAnsi="Times New Roman"/>
                <w:sz w:val="9"/>
                <w:szCs w:val="9"/>
                <w:color w:val="auto"/>
              </w:rPr>
              <w:t>†^</w:t>
            </w:r>
          </w:p>
        </w:tc>
        <w:tc>
          <w:tcPr>
            <w:tcW w:w="9720" w:type="dxa"/>
            <w:vAlign w:val="bottom"/>
            <w:gridSpan w:val="10"/>
          </w:tcPr>
          <w:p>
            <w:pPr>
              <w:spacing w:after="0"/>
              <w:rPr>
                <w:sz w:val="20"/>
                <w:szCs w:val="20"/>
                <w:color w:val="auto"/>
              </w:rPr>
            </w:pPr>
            <w:r>
              <w:rPr>
                <w:rFonts w:ascii="Arial" w:cs="Arial" w:eastAsia="Arial" w:hAnsi="Arial"/>
                <w:sz w:val="16"/>
                <w:szCs w:val="16"/>
                <w:color w:val="0000FF"/>
              </w:rPr>
              <w:t>Transition and Retirement Agreement and Release of Claims, dated as of December 12, 2025, by and between Talen Energy</w:t>
            </w:r>
          </w:p>
        </w:tc>
      </w:tr>
      <w:tr>
        <w:trPr>
          <w:trHeight w:val="169"/>
        </w:trPr>
        <w:tc>
          <w:tcPr>
            <w:tcW w:w="1440" w:type="dxa"/>
            <w:vAlign w:val="bottom"/>
          </w:tcPr>
          <w:p>
            <w:pPr>
              <w:spacing w:after="0"/>
              <w:rPr>
                <w:sz w:val="14"/>
                <w:szCs w:val="14"/>
                <w:color w:val="auto"/>
              </w:rPr>
            </w:pPr>
          </w:p>
        </w:tc>
        <w:tc>
          <w:tcPr>
            <w:tcW w:w="896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Corporation and John Wander.</w:t>
            </w:r>
          </w:p>
        </w:tc>
        <w:tc>
          <w:tcPr>
            <w:tcW w:w="760" w:type="dxa"/>
            <w:vAlign w:val="bottom"/>
            <w:gridSpan w:val="4"/>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700" w:type="dxa"/>
            <w:vAlign w:val="bottom"/>
            <w:gridSpan w:val="5"/>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6"/>
                <w:szCs w:val="16"/>
                <w:color w:val="auto"/>
              </w:rPr>
              <w:t>99.1</w:t>
            </w:r>
          </w:p>
        </w:tc>
        <w:tc>
          <w:tcPr>
            <w:tcW w:w="30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Press Release dated December 15, 2025.</w:t>
            </w:r>
          </w:p>
        </w:tc>
        <w:tc>
          <w:tcPr>
            <w:tcW w:w="6700" w:type="dxa"/>
            <w:vAlign w:val="bottom"/>
            <w:gridSpan w:val="5"/>
          </w:tcPr>
          <w:p>
            <w:pPr>
              <w:spacing w:after="0"/>
              <w:rPr>
                <w:sz w:val="18"/>
                <w:szCs w:val="18"/>
                <w:color w:val="auto"/>
              </w:rPr>
            </w:pPr>
          </w:p>
        </w:tc>
      </w:tr>
    </w:tbl>
    <w:p>
      <w:pPr>
        <w:spacing w:after="0" w:line="40" w:lineRule="exact"/>
        <w:rPr>
          <w:sz w:val="20"/>
          <w:szCs w:val="20"/>
          <w:color w:val="auto"/>
        </w:rPr>
      </w:pPr>
    </w:p>
    <w:p>
      <w:pPr>
        <w:ind w:left="1440" w:hanging="1414"/>
        <w:spacing w:after="0"/>
        <w:tabs>
          <w:tab w:leader="none" w:pos="1440" w:val="left"/>
        </w:tabs>
        <w:numPr>
          <w:ilvl w:val="1"/>
          <w:numId w:val="4"/>
        </w:numPr>
        <w:rPr>
          <w:rFonts w:ascii="Arial" w:cs="Arial" w:eastAsia="Arial" w:hAnsi="Arial"/>
          <w:sz w:val="16"/>
          <w:szCs w:val="16"/>
          <w:color w:val="auto"/>
        </w:rPr>
      </w:pPr>
      <w:r>
        <w:rPr>
          <w:rFonts w:ascii="Arial" w:cs="Arial" w:eastAsia="Arial" w:hAnsi="Arial"/>
          <w:sz w:val="16"/>
          <w:szCs w:val="16"/>
          <w:color w:val="auto"/>
        </w:rPr>
        <w:t>Cover Page Interactive Data File (cover page XBRL tags embedded within the Inline XBRL document).</w:t>
      </w:r>
    </w:p>
    <w:p>
      <w:pPr>
        <w:spacing w:after="0" w:line="255" w:lineRule="exact"/>
        <w:rPr>
          <w:rFonts w:ascii="Arial" w:cs="Arial" w:eastAsia="Arial" w:hAnsi="Arial"/>
          <w:sz w:val="16"/>
          <w:szCs w:val="16"/>
          <w:color w:val="auto"/>
        </w:rPr>
      </w:pPr>
    </w:p>
    <w:p>
      <w:pPr>
        <w:ind w:left="220" w:hanging="212"/>
        <w:spacing w:after="0"/>
        <w:tabs>
          <w:tab w:leader="none" w:pos="22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Management contract or compensatory plan or arrangement.</w:t>
      </w:r>
    </w:p>
    <w:p>
      <w:pPr>
        <w:ind w:left="220" w:hanging="212"/>
        <w:spacing w:after="0" w:line="202" w:lineRule="auto"/>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Certain private and immaterial portions of the exhibit have been redacted pursuant to Item 601(a)(6) of Regulation S-K.</w:t>
      </w: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274" w:lineRule="exact"/>
        <w:rPr>
          <w:rFonts w:ascii="Arial" w:cs="Arial" w:eastAsia="Arial" w:hAnsi="Arial"/>
          <w:sz w:val="19"/>
          <w:szCs w:val="19"/>
          <w:color w:val="auto"/>
          <w:vertAlign w:val="superscript"/>
        </w:rPr>
      </w:pPr>
    </w:p>
    <w:p>
      <w:pPr>
        <w:ind w:left="5580"/>
        <w:spacing w:after="0"/>
        <w:rPr>
          <w:rFonts w:ascii="Arial" w:cs="Arial" w:eastAsia="Arial" w:hAnsi="Arial"/>
          <w:sz w:val="19"/>
          <w:szCs w:val="19"/>
          <w:color w:val="auto"/>
          <w:vertAlign w:val="superscript"/>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 w:name="page6"/>
    <w:bookmarkEnd w:id="5"/>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right="580" w:firstLine="324"/>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TALEN ENERGY CORPORATION</w:t>
            </w:r>
          </w:p>
        </w:tc>
      </w:tr>
      <w:tr>
        <w:trPr>
          <w:trHeight w:val="252"/>
        </w:trPr>
        <w:tc>
          <w:tcPr>
            <w:tcW w:w="4080" w:type="dxa"/>
            <w:vAlign w:val="bottom"/>
          </w:tcPr>
          <w:p>
            <w:pPr>
              <w:spacing w:after="0"/>
              <w:rPr>
                <w:sz w:val="20"/>
                <w:szCs w:val="20"/>
                <w:color w:val="auto"/>
              </w:rPr>
            </w:pPr>
            <w:r>
              <w:rPr>
                <w:rFonts w:ascii="Arial" w:cs="Arial" w:eastAsia="Arial" w:hAnsi="Arial"/>
                <w:sz w:val="16"/>
                <w:szCs w:val="16"/>
                <w:color w:val="auto"/>
              </w:rPr>
              <w:t>Date:    December 15, 2025</w:t>
            </w:r>
          </w:p>
        </w:tc>
        <w:tc>
          <w:tcPr>
            <w:tcW w:w="2720" w:type="dxa"/>
            <w:vAlign w:val="bottom"/>
          </w:tcPr>
          <w:p>
            <w:pPr>
              <w:ind w:left="1960"/>
              <w:spacing w:after="0"/>
              <w:rPr>
                <w:sz w:val="20"/>
                <w:szCs w:val="20"/>
                <w:color w:val="auto"/>
              </w:rPr>
            </w:pPr>
            <w:r>
              <w:rPr>
                <w:rFonts w:ascii="Arial" w:cs="Arial" w:eastAsia="Arial" w:hAnsi="Arial"/>
                <w:sz w:val="16"/>
                <w:szCs w:val="16"/>
                <w:color w:val="auto"/>
              </w:rPr>
              <w:t>By:</w:t>
            </w: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John Wander</w:t>
            </w:r>
          </w:p>
        </w:tc>
      </w:tr>
      <w:tr>
        <w:trPr>
          <w:trHeight w:val="228"/>
        </w:trPr>
        <w:tc>
          <w:tcPr>
            <w:tcW w:w="4080" w:type="dxa"/>
            <w:vAlign w:val="bottom"/>
          </w:tcPr>
          <w:p>
            <w:pPr>
              <w:spacing w:after="0"/>
              <w:rPr>
                <w:sz w:val="19"/>
                <w:szCs w:val="19"/>
                <w:color w:val="auto"/>
              </w:rPr>
            </w:pPr>
          </w:p>
        </w:tc>
        <w:tc>
          <w:tcPr>
            <w:tcW w:w="2720" w:type="dxa"/>
            <w:vAlign w:val="bottom"/>
          </w:tcPr>
          <w:p>
            <w:pPr>
              <w:ind w:left="1960"/>
              <w:spacing w:after="0"/>
              <w:rPr>
                <w:sz w:val="20"/>
                <w:szCs w:val="20"/>
                <w:color w:val="auto"/>
              </w:rPr>
            </w:pPr>
            <w:r>
              <w:rPr>
                <w:rFonts w:ascii="Arial" w:cs="Arial" w:eastAsia="Arial" w:hAnsi="Arial"/>
                <w:sz w:val="16"/>
                <w:szCs w:val="16"/>
                <w:color w:val="auto"/>
              </w:rPr>
              <w:t>Name:</w:t>
            </w:r>
          </w:p>
        </w:tc>
        <w:tc>
          <w:tcPr>
            <w:tcW w:w="4420" w:type="dxa"/>
            <w:vAlign w:val="bottom"/>
          </w:tcPr>
          <w:p>
            <w:pPr>
              <w:ind w:left="20"/>
              <w:spacing w:after="0"/>
              <w:rPr>
                <w:sz w:val="20"/>
                <w:szCs w:val="20"/>
                <w:color w:val="auto"/>
              </w:rPr>
            </w:pPr>
            <w:r>
              <w:rPr>
                <w:rFonts w:ascii="Arial" w:cs="Arial" w:eastAsia="Arial" w:hAnsi="Arial"/>
                <w:sz w:val="16"/>
                <w:szCs w:val="16"/>
                <w:color w:val="auto"/>
              </w:rPr>
              <w:t>John Wander</w:t>
            </w:r>
          </w:p>
        </w:tc>
      </w:tr>
      <w:tr>
        <w:trPr>
          <w:trHeight w:val="243"/>
        </w:trPr>
        <w:tc>
          <w:tcPr>
            <w:tcW w:w="4080" w:type="dxa"/>
            <w:vAlign w:val="bottom"/>
          </w:tcPr>
          <w:p>
            <w:pPr>
              <w:spacing w:after="0"/>
              <w:rPr>
                <w:sz w:val="21"/>
                <w:szCs w:val="21"/>
                <w:color w:val="auto"/>
              </w:rPr>
            </w:pPr>
          </w:p>
        </w:tc>
        <w:tc>
          <w:tcPr>
            <w:tcW w:w="2720" w:type="dxa"/>
            <w:vAlign w:val="bottom"/>
          </w:tcPr>
          <w:p>
            <w:pPr>
              <w:ind w:left="1960"/>
              <w:spacing w:after="0"/>
              <w:rPr>
                <w:sz w:val="20"/>
                <w:szCs w:val="20"/>
                <w:color w:val="auto"/>
              </w:rPr>
            </w:pPr>
            <w:r>
              <w:rPr>
                <w:rFonts w:ascii="Arial" w:cs="Arial" w:eastAsia="Arial" w:hAnsi="Arial"/>
                <w:sz w:val="16"/>
                <w:szCs w:val="16"/>
                <w:color w:val="auto"/>
              </w:rPr>
              <w:t>Title:</w:t>
            </w:r>
          </w:p>
        </w:tc>
        <w:tc>
          <w:tcPr>
            <w:tcW w:w="4420" w:type="dxa"/>
            <w:vAlign w:val="bottom"/>
          </w:tcPr>
          <w:p>
            <w:pPr>
              <w:ind w:left="20"/>
              <w:spacing w:after="0"/>
              <w:rPr>
                <w:sz w:val="20"/>
                <w:szCs w:val="20"/>
                <w:color w:val="auto"/>
              </w:rPr>
            </w:pPr>
            <w:r>
              <w:rPr>
                <w:rFonts w:ascii="Arial" w:cs="Arial" w:eastAsia="Arial" w:hAnsi="Arial"/>
                <w:sz w:val="16"/>
                <w:szCs w:val="16"/>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Amended and Restated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by and between Talen Energy Corporation,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Mark A. McFarland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as of December 12,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Employee and the Company entered into an employment agreement, effective as of May 17, 2023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WHEREAS, Employee and the Company mutually desire that Employee continue to provide services to the Company and its affiliates on the terms set forth in this Agreement, which replaces and supersedes in its entirety the Prior Agreement as of the Effective Date.</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such employment and the mutual covenants and promises herein contained, and for other good and valuable consideration, the receipt and sufficiency of which are hereby acknowledged, the Company and Employee agree as follows:</w:t>
      </w:r>
    </w:p>
    <w:p>
      <w:pPr>
        <w:spacing w:after="0" w:line="169" w:lineRule="exact"/>
        <w:rPr>
          <w:sz w:val="20"/>
          <w:szCs w:val="20"/>
          <w:color w:val="auto"/>
        </w:rPr>
      </w:pPr>
    </w:p>
    <w:p>
      <w:pPr>
        <w:ind w:left="1040" w:hanging="384"/>
        <w:spacing w:after="0"/>
        <w:tabs>
          <w:tab w:leader="none" w:pos="1040"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806" w:val="left"/>
        </w:tabs>
        <w:numPr>
          <w:ilvl w:val="1"/>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Employment Period (as defined below), the Company shall continue to employ Employee, and Employee shall continue to serve, as Chief Executive Officer of the Company and in such other position or positions as may be assigned from time to time by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the Company. Employee shall remain a member of the Board, and during the Employment Period will be nominated by the Board for re-election upon the expiration of his term as a director. In addition, if requested by the Company, Employee shall serve as an officer or member of the board of directors of any subsidiaries or affiliates of the Company without additional compensation.</w:t>
      </w:r>
    </w:p>
    <w:p>
      <w:pPr>
        <w:spacing w:after="0" w:line="194"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764" w:val="left"/>
        </w:tabs>
        <w:numPr>
          <w:ilvl w:val="1"/>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Employee expressly and irrevocably waives and releases any and all claims Employee may have to terminate Employee’s employment for Good Reason under the Prior Agreement and receive payments and benefits or otherwise be entitled to any other rights under any plan, program, agreement or other arrangement sponsored by the Company or any of its subsidiaries or affiliates, as the result of Employee’s role change from Chief Executive Officer and President under the Prior Agreement to Chief Executive Officer (as set forth in </w:t>
      </w:r>
      <w:r>
        <w:rPr>
          <w:rFonts w:ascii="Times New Roman" w:cs="Times New Roman" w:eastAsia="Times New Roman" w:hAnsi="Times New Roman"/>
          <w:sz w:val="22"/>
          <w:szCs w:val="22"/>
          <w:u w:val="single" w:color="auto"/>
          <w:color w:val="auto"/>
        </w:rPr>
        <w:t>Section 1(a)</w:t>
      </w:r>
      <w:r>
        <w:rPr>
          <w:rFonts w:ascii="Times New Roman" w:cs="Times New Roman" w:eastAsia="Times New Roman" w:hAnsi="Times New Roman"/>
          <w:sz w:val="22"/>
          <w:szCs w:val="22"/>
          <w:color w:val="auto"/>
        </w:rPr>
        <w:t xml:space="preserve"> above).</w:t>
      </w:r>
    </w:p>
    <w:p>
      <w:pPr>
        <w:spacing w:after="0" w:line="190"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Duties and Responsibilities of Employee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65" w:lineRule="auto"/>
        <w:tabs>
          <w:tab w:leader="none" w:pos="1779" w:val="left"/>
        </w:tabs>
        <w:numPr>
          <w:ilvl w:val="1"/>
          <w:numId w:val="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During the Employment Period, Employee shall actively engage in the business and affairs of the Company (together with its direct and indirect subsidiaries, the “</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xml:space="preserve">”) as may be requested by the Board from time to time, devote such amount of Employee’s business time and attention as is reasonably necessary to manage the business and affairs of the Company, which amount of time will constitute substantially all of Employee’s business time. Employee’s duties and responsibilities shall include those normally incidental to the position(s) identified in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as well as such additional duties as may be assigned to Employee by the Board from time to time, which duties and responsibilities may include</w:t>
      </w:r>
    </w:p>
    <w:p>
      <w:pPr>
        <w:sectPr>
          <w:pgSz w:w="11900" w:h="16838" w:orient="portrait"/>
          <w:cols w:equalWidth="0" w:num="1">
            <w:col w:w="11240"/>
          </w:cols>
          <w:pgMar w:left="320" w:top="120" w:right="339" w:bottom="1440" w:gutter="0" w:footer="0" w:header="0"/>
        </w:sectPr>
      </w:pPr>
    </w:p>
    <w:bookmarkStart w:id="7" w:name="page8"/>
    <w:bookmarkEnd w:id="7"/>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providing services to other members of the Company Group in addition to the Company. Employee may, without violating this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(i) as a passive investment, own publicly traded securities in such form or manner as will not require any services by Employee in the operation of the entities in which such securities are owned; (ii) engage in charitable and civic activities;</w:t>
      </w:r>
    </w:p>
    <w:p>
      <w:pPr>
        <w:spacing w:after="0" w:line="2" w:lineRule="exact"/>
        <w:rPr>
          <w:sz w:val="20"/>
          <w:szCs w:val="20"/>
          <w:color w:val="auto"/>
        </w:rPr>
      </w:pPr>
    </w:p>
    <w:p>
      <w:pPr>
        <w:jc w:val="both"/>
        <w:ind w:firstLine="8"/>
        <w:spacing w:after="0" w:line="249" w:lineRule="auto"/>
        <w:tabs>
          <w:tab w:leader="none" w:pos="40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prior written consent of the Board, engage in other personal and passive investment activities; (iv) serve on the board of directors at California Resources Corporation as a non-employee director; and (v) with the prior written consent of the Board, serve on the board of directors of one other for-profit corporation,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w:t>
      </w:r>
    </w:p>
    <w:p>
      <w:pPr>
        <w:spacing w:after="0" w:line="18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99" w:val="left"/>
        </w:tabs>
        <w:numPr>
          <w:ilvl w:val="2"/>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spacing w:after="0" w:line="185"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1792" w:val="left"/>
        </w:tabs>
        <w:numPr>
          <w:ilvl w:val="2"/>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owes each member of the Company Group fiduciary duties, and the obligations described in this Agreement are in addition to, and not in lieu of, the obligations Employee owes each member of the Company Group under statutory and common law.</w:t>
      </w:r>
    </w:p>
    <w:p>
      <w:pPr>
        <w:spacing w:after="0" w:line="163"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1"/>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779" w:val="left"/>
        </w:tabs>
        <w:numPr>
          <w:ilvl w:val="2"/>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Base Salar</w:t>
      </w:r>
      <w:r>
        <w:rPr>
          <w:rFonts w:ascii="Times New Roman" w:cs="Times New Roman" w:eastAsia="Times New Roman" w:hAnsi="Times New Roman"/>
          <w:sz w:val="22"/>
          <w:szCs w:val="22"/>
          <w:color w:val="auto"/>
        </w:rPr>
        <w:t>y. During the Employment Period, the Company shall pay to Employee an annualized base salary of $1,400,000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and may be increased, but not decreased, at the discretion of the Compensation Committee following consultation with the other independent members of the Board.</w:t>
      </w:r>
    </w:p>
    <w:p>
      <w:pPr>
        <w:spacing w:after="0" w:line="181"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912" w:val="left"/>
        </w:tabs>
        <w:numPr>
          <w:ilvl w:val="2"/>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Beginning on January 1, 2026, Employee shall be eligible for bonus compensation for calendar year 2026 and each subsequent complete calendar year that Employee is employed by the Company hereunder (the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The target Annual Bonus for each such calendar year (the “</w:t>
      </w:r>
      <w:r>
        <w:rPr>
          <w:rFonts w:ascii="Times New Roman" w:cs="Times New Roman" w:eastAsia="Times New Roman" w:hAnsi="Times New Roman"/>
          <w:sz w:val="22"/>
          <w:szCs w:val="22"/>
          <w:u w:val="single" w:color="auto"/>
          <w:color w:val="auto"/>
        </w:rPr>
        <w:t>Bonus Year</w:t>
      </w:r>
      <w:r>
        <w:rPr>
          <w:rFonts w:ascii="Times New Roman" w:cs="Times New Roman" w:eastAsia="Times New Roman" w:hAnsi="Times New Roman"/>
          <w:sz w:val="22"/>
          <w:szCs w:val="22"/>
          <w:color w:val="auto"/>
        </w:rPr>
        <w:t>”) shall be 135% of Employee’s Base Salary in effect as of the first day of the Bonus Year (the “Target Bonus”), with the actual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8" w:name="page9"/>
    <w:bookmarkEnd w:id="8"/>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Bonus for a Bonus Year depending on the level of achievement of the performance targets as determined by the Compensation Committee for the Bonus Year. The performance targets that must be achieved in order to be eligible for certain bonus levels shall be established by the Compensation Committee annually, in its sole discretion, and communicated to Employee within the first one-hundred twenty (120) days of the applicable Bonus Year.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For the avoidance of doubt, Employee’s Annual Bonus for calendar year 2025 shall continue to be governed by the provisions of the Prior Agreement. Notwithstanding anything in this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to the contrary, but subject to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no Annual Bonus, if any, nor any portion thereof, shall be payable for any Bonus Year unless Employee remains continuously employed by the Company from the Effective Date through the date on which such Annual Bonus is paid.</w:t>
      </w:r>
    </w:p>
    <w:p>
      <w:pPr>
        <w:spacing w:after="0" w:line="183" w:lineRule="exact"/>
        <w:rPr>
          <w:sz w:val="20"/>
          <w:szCs w:val="20"/>
          <w:color w:val="auto"/>
        </w:rPr>
      </w:pPr>
    </w:p>
    <w:p>
      <w:pPr>
        <w:ind w:left="1760" w:hanging="456"/>
        <w:spacing w:after="0"/>
        <w:tabs>
          <w:tab w:leader="none" w:pos="1760"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Long-Term Incentive Awards</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010000"/>
        </w:rPr>
      </w:pPr>
    </w:p>
    <w:p>
      <w:pPr>
        <w:jc w:val="both"/>
        <w:ind w:left="660" w:firstLine="1292"/>
        <w:spacing w:after="0" w:line="263" w:lineRule="auto"/>
        <w:tabs>
          <w:tab w:leader="none" w:pos="2389" w:val="left"/>
        </w:tabs>
        <w:numPr>
          <w:ilvl w:val="1"/>
          <w:numId w:val="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Annual Grants</w:t>
      </w:r>
      <w:r>
        <w:rPr>
          <w:rFonts w:ascii="Times New Roman" w:cs="Times New Roman" w:eastAsia="Times New Roman" w:hAnsi="Times New Roman"/>
          <w:sz w:val="21"/>
          <w:szCs w:val="21"/>
          <w:color w:val="auto"/>
        </w:rPr>
        <w:t>. Provided that Employee is employed by the Company on the applicable date of grant,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Employee shall be eligible to receive an annual grant under the Talen Energy Corporation 2023 Equity Incentive Plan or any applicable successor plan (the “</w:t>
      </w:r>
      <w:r>
        <w:rPr>
          <w:rFonts w:ascii="Times New Roman" w:cs="Times New Roman" w:eastAsia="Times New Roman" w:hAnsi="Times New Roman"/>
          <w:sz w:val="21"/>
          <w:szCs w:val="21"/>
          <w:u w:val="single" w:color="auto"/>
          <w:color w:val="auto"/>
        </w:rPr>
        <w:t>LTIP</w:t>
      </w:r>
      <w:r>
        <w:rPr>
          <w:rFonts w:ascii="Times New Roman" w:cs="Times New Roman" w:eastAsia="Times New Roman" w:hAnsi="Times New Roman"/>
          <w:sz w:val="21"/>
          <w:szCs w:val="21"/>
          <w:color w:val="auto"/>
        </w:rPr>
        <w:t>”) with a grant date target value not less than 700% of Employee’s Base Salary as in effect on the applicable date of grant of such award on such terms and conditions as the Board and the Compensation Committee shall determine from time to time (collectively, the “</w:t>
      </w:r>
      <w:r>
        <w:rPr>
          <w:rFonts w:ascii="Times New Roman" w:cs="Times New Roman" w:eastAsia="Times New Roman" w:hAnsi="Times New Roman"/>
          <w:sz w:val="21"/>
          <w:szCs w:val="21"/>
          <w:u w:val="single" w:color="auto"/>
          <w:color w:val="auto"/>
        </w:rPr>
        <w:t>LTIP Awards</w:t>
      </w:r>
      <w:r>
        <w:rPr>
          <w:rFonts w:ascii="Times New Roman" w:cs="Times New Roman" w:eastAsia="Times New Roman" w:hAnsi="Times New Roman"/>
          <w:sz w:val="21"/>
          <w:szCs w:val="21"/>
          <w:color w:val="auto"/>
        </w:rPr>
        <w:t xml:space="preserve">”). All LTIP Awards granted to Employee under the LTIP shall be subject to and governed by the terms and provisions of the LTIP as in effect from time to time and the award agreements evidencing such awards. Employee’s annual grant for calendar year 2026 shall, subject to the approval of the Board or the Compensation Committee, be on substantially the terms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178" w:lineRule="exact"/>
        <w:rPr>
          <w:rFonts w:ascii="Times New Roman" w:cs="Times New Roman" w:eastAsia="Times New Roman" w:hAnsi="Times New Roman"/>
          <w:sz w:val="21"/>
          <w:szCs w:val="21"/>
          <w:color w:val="010000"/>
        </w:rPr>
      </w:pPr>
    </w:p>
    <w:p>
      <w:pPr>
        <w:jc w:val="both"/>
        <w:ind w:left="660" w:firstLine="1292"/>
        <w:spacing w:after="0" w:line="249" w:lineRule="auto"/>
        <w:tabs>
          <w:tab w:leader="none" w:pos="2544" w:val="left"/>
        </w:tabs>
        <w:numPr>
          <w:ilvl w:val="1"/>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Cash-Settlement; Stock Ownership Guidelines</w:t>
      </w:r>
      <w:r>
        <w:rPr>
          <w:rFonts w:ascii="Times New Roman" w:cs="Times New Roman" w:eastAsia="Times New Roman" w:hAnsi="Times New Roman"/>
          <w:sz w:val="22"/>
          <w:szCs w:val="22"/>
          <w:color w:val="auto"/>
        </w:rPr>
        <w:t>. Notwithstanding anything in the applicable award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to the contrary, if, on the date of vesting of any performance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other than the Emergence Grants (as defined below), Employee holds Company Common Stock (as defined in the LTIP) in excess of two hundred percent (200%) of the stock ownership requirements applicable to Employee under the Company’s Stock Ownership Guidelines, adopted March 14, 2024, and as updated from time to time, fifty percent (50%) of the net after-tax value of such PSUs will be settled in cash and the remaining portion will be settled in Company Common Stock, with such settlement otherwise subject to the terms of the applicable award agreement, subject to the Compensation Committee’s ability to modify the portion settled in cash to the extent necessitated by a Liquidity Constraint, as defined below.</w:t>
      </w:r>
    </w:p>
    <w:p>
      <w:pPr>
        <w:spacing w:after="0" w:line="181" w:lineRule="exact"/>
        <w:rPr>
          <w:rFonts w:ascii="Times New Roman" w:cs="Times New Roman" w:eastAsia="Times New Roman" w:hAnsi="Times New Roman"/>
          <w:sz w:val="22"/>
          <w:szCs w:val="22"/>
          <w:color w:val="010000"/>
        </w:rPr>
      </w:pPr>
    </w:p>
    <w:p>
      <w:pPr>
        <w:jc w:val="both"/>
        <w:ind w:left="660" w:firstLine="1292"/>
        <w:spacing w:after="0" w:line="259" w:lineRule="auto"/>
        <w:tabs>
          <w:tab w:leader="none" w:pos="2671" w:val="left"/>
        </w:tabs>
        <w:numPr>
          <w:ilvl w:val="1"/>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Settlement of Emergence Grants; Lock-Up</w:t>
      </w:r>
      <w:r>
        <w:rPr>
          <w:rFonts w:ascii="Times New Roman" w:cs="Times New Roman" w:eastAsia="Times New Roman" w:hAnsi="Times New Roman"/>
          <w:sz w:val="22"/>
          <w:szCs w:val="22"/>
          <w:color w:val="auto"/>
        </w:rPr>
        <w:t>. With respect to Employee’s PSUs and time-based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that were granted in 2023 and scheduled to vest and settle in calendar year 2026 (the “</w:t>
      </w:r>
      <w:r>
        <w:rPr>
          <w:rFonts w:ascii="Times New Roman" w:cs="Times New Roman" w:eastAsia="Times New Roman" w:hAnsi="Times New Roman"/>
          <w:sz w:val="22"/>
          <w:szCs w:val="22"/>
          <w:u w:val="single" w:color="auto"/>
          <w:color w:val="auto"/>
        </w:rPr>
        <w:t>Emergence Grants</w:t>
      </w:r>
      <w:r>
        <w:rPr>
          <w:rFonts w:ascii="Times New Roman" w:cs="Times New Roman" w:eastAsia="Times New Roman" w:hAnsi="Times New Roman"/>
          <w:sz w:val="22"/>
          <w:szCs w:val="22"/>
          <w:color w:val="auto"/>
        </w:rPr>
        <w:t>”), Employee and the Company acknowledge and agree that a portion of the Emergence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9" w:name="page10"/>
    <w:bookmarkEnd w:id="9"/>
    <w:p>
      <w:pPr>
        <w:jc w:val="both"/>
        <w:ind w:left="660"/>
        <w:spacing w:after="0" w:line="247" w:lineRule="auto"/>
        <w:rPr>
          <w:sz w:val="20"/>
          <w:szCs w:val="20"/>
          <w:color w:val="auto"/>
        </w:rPr>
      </w:pPr>
      <w:r>
        <w:rPr>
          <w:rFonts w:ascii="Times New Roman" w:cs="Times New Roman" w:eastAsia="Times New Roman" w:hAnsi="Times New Roman"/>
          <w:sz w:val="22"/>
          <w:szCs w:val="22"/>
          <w:color w:val="auto"/>
        </w:rPr>
        <w:t>Grants will be settled in cash in an amount equal to sixty percent (60%) of the net after-tax value of each such award (the “</w:t>
      </w:r>
      <w:r>
        <w:rPr>
          <w:rFonts w:ascii="Times New Roman" w:cs="Times New Roman" w:eastAsia="Times New Roman" w:hAnsi="Times New Roman"/>
          <w:sz w:val="22"/>
          <w:szCs w:val="22"/>
          <w:u w:val="single" w:color="auto"/>
          <w:color w:val="auto"/>
        </w:rPr>
        <w:t>Cash-Settled Portion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Fair Market Value (as defined in the LTIP) of a share of Company Common Stock on the date of vesting of the Emergence Grants exceeds $400.00, the Cash-Settled Portion of the Emergence Grants will be no greater cash value in the aggregate than the Cash-Settled Portion that would result if the Fair Market Value of a share of Company Common Stock were equal to $400.00. In consideration of the foregoing, Employee agrees not to sell, contract to sell, grant any option to purchase, transfer the economic risk of ownership in, make any short sale of, pledge or otherwise transfer or dispose of, any interest in any shares of Company Common Stock received upon settlement of the Emergence Grants (each, an “</w:t>
      </w:r>
      <w:r>
        <w:rPr>
          <w:rFonts w:ascii="Times New Roman" w:cs="Times New Roman" w:eastAsia="Times New Roman" w:hAnsi="Times New Roman"/>
          <w:sz w:val="22"/>
          <w:szCs w:val="22"/>
          <w:u w:val="single" w:color="auto"/>
          <w:color w:val="auto"/>
        </w:rPr>
        <w:t>Award Share</w:t>
      </w:r>
      <w:r>
        <w:rPr>
          <w:rFonts w:ascii="Times New Roman" w:cs="Times New Roman" w:eastAsia="Times New Roman" w:hAnsi="Times New Roman"/>
          <w:sz w:val="22"/>
          <w:szCs w:val="22"/>
          <w:color w:val="auto"/>
        </w:rPr>
        <w:t>”) until November 13, 2026 (the “</w:t>
      </w:r>
      <w:r>
        <w:rPr>
          <w:rFonts w:ascii="Times New Roman" w:cs="Times New Roman" w:eastAsia="Times New Roman" w:hAnsi="Times New Roman"/>
          <w:sz w:val="22"/>
          <w:szCs w:val="22"/>
          <w:u w:val="single" w:color="auto"/>
          <w:color w:val="auto"/>
        </w:rPr>
        <w:t>Lock-Up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paragraph shall not prohibit Employee from, during the last ninety (90) days of the Lock-Up Period, establishing a trading plan that meets the requirements of Rule 10b5-1 under the Securities Exchange Act of 1934, as amended, so long as no trades are executed pursuant to such plan during the Lock-Up Period. Employee acknowledges and agrees that any Award Share will be subject to legends, stop transfer orders or any other similar restriction that the Company deems reasonably necessary to effectuate the provisions set forth in this </w:t>
      </w:r>
      <w:r>
        <w:rPr>
          <w:rFonts w:ascii="Times New Roman" w:cs="Times New Roman" w:eastAsia="Times New Roman" w:hAnsi="Times New Roman"/>
          <w:sz w:val="22"/>
          <w:szCs w:val="22"/>
          <w:u w:val="single" w:color="auto"/>
          <w:color w:val="auto"/>
        </w:rPr>
        <w:t>Section 3(c)(iii)</w:t>
      </w:r>
      <w:r>
        <w:rPr>
          <w:rFonts w:ascii="Times New Roman" w:cs="Times New Roman" w:eastAsia="Times New Roman" w:hAnsi="Times New Roman"/>
          <w:sz w:val="22"/>
          <w:szCs w:val="22"/>
          <w:color w:val="auto"/>
        </w:rPr>
        <w:t>. Notwithstanding the foregoing, if the Compensation Committee reasonably determines that the settlement of all or a portion of the Cash-Settled Portion of the Emergence Grants in cash would materially and adversely affect the Company (a “</w:t>
      </w:r>
      <w:r>
        <w:rPr>
          <w:rFonts w:ascii="Times New Roman" w:cs="Times New Roman" w:eastAsia="Times New Roman" w:hAnsi="Times New Roman"/>
          <w:sz w:val="22"/>
          <w:szCs w:val="22"/>
          <w:u w:val="single" w:color="auto"/>
          <w:color w:val="auto"/>
        </w:rPr>
        <w:t>Liquidity Constraint</w:t>
      </w:r>
      <w:r>
        <w:rPr>
          <w:rFonts w:ascii="Times New Roman" w:cs="Times New Roman" w:eastAsia="Times New Roman" w:hAnsi="Times New Roman"/>
          <w:sz w:val="22"/>
          <w:szCs w:val="22"/>
          <w:color w:val="auto"/>
        </w:rPr>
        <w:t xml:space="preserve">”), the Compensation Committee may elect to reduce the Cash-Settled Portion to the extent necessary to address the Liquidity Constraint, in which case the Lock-Up Period will be reduced in the same proportion by which the Cash-Settled Portion was reduced. By way of example only, if the Compensation Committee determines, in accordance with the previous sentence, that the Cash-Settled Portion will be reduced to one-half (1/2) of the Cash-Settled Portion that would otherwise result from this </w:t>
      </w:r>
      <w:r>
        <w:rPr>
          <w:rFonts w:ascii="Times New Roman" w:cs="Times New Roman" w:eastAsia="Times New Roman" w:hAnsi="Times New Roman"/>
          <w:sz w:val="22"/>
          <w:szCs w:val="22"/>
          <w:u w:val="single" w:color="auto"/>
          <w:color w:val="auto"/>
        </w:rPr>
        <w:t>Section 3(c)(iii)</w:t>
      </w:r>
      <w:r>
        <w:rPr>
          <w:rFonts w:ascii="Times New Roman" w:cs="Times New Roman" w:eastAsia="Times New Roman" w:hAnsi="Times New Roman"/>
          <w:sz w:val="22"/>
          <w:szCs w:val="22"/>
          <w:color w:val="auto"/>
        </w:rPr>
        <w:t>, the Lock-Up Period applicable to the Award Shares shall be reduced to 90 days (i.e., one-half (1/2) of 180 days).</w:t>
      </w:r>
    </w:p>
    <w:p>
      <w:pPr>
        <w:spacing w:after="0" w:line="185" w:lineRule="exact"/>
        <w:rPr>
          <w:sz w:val="20"/>
          <w:szCs w:val="20"/>
          <w:color w:val="auto"/>
        </w:rPr>
      </w:pPr>
    </w:p>
    <w:p>
      <w:pPr>
        <w:jc w:val="both"/>
        <w:ind w:firstLine="656"/>
        <w:spacing w:after="0" w:line="249" w:lineRule="auto"/>
        <w:tabs>
          <w:tab w:leader="none" w:pos="1039" w:val="left"/>
        </w:tabs>
        <w:numPr>
          <w:ilvl w:val="0"/>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Term of Employment</w:t>
      </w:r>
      <w:r>
        <w:rPr>
          <w:rFonts w:ascii="Times New Roman" w:cs="Times New Roman" w:eastAsia="Times New Roman" w:hAnsi="Times New Roman"/>
          <w:sz w:val="22"/>
          <w:szCs w:val="22"/>
          <w:color w:val="auto"/>
        </w:rPr>
        <w:t>. The term of Employee’s employment under this Agreement shall be for the period beginning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Effective Date and ending on February 28, 2027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Thereafter, the term of this Agreement will automatically extend, on the same terms, for successive one-year periods, unless either party provides written notice of non-extension at least ninety (90) days prior to the end of the Term or any extension thereof. Notwithstanding any other provision of this Agreement, Employee’s employment pursuant to this Agreement may be terminated at any time in accordance with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010000"/>
        </w:rPr>
      </w:pPr>
    </w:p>
    <w:p>
      <w:pPr>
        <w:jc w:val="both"/>
        <w:ind w:firstLine="656"/>
        <w:spacing w:after="0" w:line="258" w:lineRule="auto"/>
        <w:tabs>
          <w:tab w:leader="none" w:pos="1066" w:val="left"/>
        </w:tabs>
        <w:numPr>
          <w:ilvl w:val="0"/>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Business Expenses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the Company shall reimburse Employee for Employee’s reasonable 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0" w:name="page11"/>
    <w:bookmarkEnd w:id="10"/>
    <w:p>
      <w:pPr>
        <w:jc w:val="both"/>
        <w:spacing w:after="0" w:line="257" w:lineRule="auto"/>
        <w:rPr>
          <w:sz w:val="20"/>
          <w:szCs w:val="20"/>
          <w:color w:val="auto"/>
        </w:rPr>
      </w:pPr>
      <w:r>
        <w:rPr>
          <w:rFonts w:ascii="Times New Roman" w:cs="Times New Roman" w:eastAsia="Times New Roman" w:hAnsi="Times New Roman"/>
          <w:sz w:val="22"/>
          <w:szCs w:val="22"/>
          <w:color w:val="auto"/>
        </w:rPr>
        <w:t>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spacing w:after="0" w:line="182" w:lineRule="exact"/>
        <w:rPr>
          <w:sz w:val="20"/>
          <w:szCs w:val="20"/>
          <w:color w:val="auto"/>
        </w:rPr>
      </w:pPr>
    </w:p>
    <w:p>
      <w:pPr>
        <w:ind w:left="1040" w:hanging="384"/>
        <w:spacing w:after="0"/>
        <w:tabs>
          <w:tab w:leader="none" w:pos="1040"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Intentionally Omitted.</w:t>
      </w:r>
    </w:p>
    <w:p>
      <w:pPr>
        <w:spacing w:after="0" w:line="219"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846" w:val="left"/>
        </w:tabs>
        <w:numPr>
          <w:ilvl w:val="1"/>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During the Employment Period, Employee shall continue to be eligible to participate in the same benefit plans and programs (including vacation and paid time off programs) in which other similarly situated Company employees are eligible to participate, subject to the terms and conditions of the applicable plans and programs in effect from time to time. The Company shall not, however, by reason of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be obligated to institute, maintain, or refrain from changing, amending, or discontinuing, any such plan or policy, so long as such changes are similarly applicable to similarly situated Company employees generally.</w:t>
      </w:r>
    </w:p>
    <w:p>
      <w:pPr>
        <w:spacing w:after="0" w:line="181"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2034" w:val="left"/>
        </w:tabs>
        <w:numPr>
          <w:ilvl w:val="1"/>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cover Employee under directors’ and officers’ liability insurance through the Employment Period, and, while potential liability exists, after the termination of Employee’s employment with the Company, on the most favorable terms as provided to any other director or executive officer of the Company.</w:t>
      </w:r>
    </w:p>
    <w:p>
      <w:pPr>
        <w:spacing w:after="0" w:line="186" w:lineRule="exact"/>
        <w:rPr>
          <w:rFonts w:ascii="Times New Roman" w:cs="Times New Roman" w:eastAsia="Times New Roman" w:hAnsi="Times New Roman"/>
          <w:sz w:val="22"/>
          <w:szCs w:val="22"/>
          <w:color w:val="010000"/>
        </w:rPr>
      </w:pPr>
    </w:p>
    <w:p>
      <w:pPr>
        <w:ind w:left="1800" w:hanging="496"/>
        <w:spacing w:after="0"/>
        <w:tabs>
          <w:tab w:leader="none" w:pos="1800" w:val="left"/>
        </w:tabs>
        <w:numPr>
          <w:ilvl w:val="1"/>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reimburse Employee up to $5,000 for legal fees incurred in connection with the review</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of this Agreement.</w:t>
      </w:r>
    </w:p>
    <w:p>
      <w:pPr>
        <w:spacing w:after="0" w:line="191"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833" w:val="left"/>
        </w:tabs>
        <w:numPr>
          <w:ilvl w:val="1"/>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Company’s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Terminate Employee’s Employment for Cause</w:t>
      </w:r>
      <w:r>
        <w:rPr>
          <w:rFonts w:ascii="Times New Roman" w:cs="Times New Roman" w:eastAsia="Times New Roman" w:hAnsi="Times New Roman"/>
          <w:sz w:val="22"/>
          <w:szCs w:val="22"/>
          <w:color w:val="auto"/>
        </w:rPr>
        <w:t>. The Company shall have the right to terminate Employee’s employment hereunder at any time for Cause.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Employee’s commission of an act or omission, or Employee causing the Company or any other member of the Company Group to commit an act or omission, that constitutes:</w:t>
      </w:r>
    </w:p>
    <w:p>
      <w:pPr>
        <w:spacing w:after="0" w:line="176" w:lineRule="exact"/>
        <w:rPr>
          <w:rFonts w:ascii="Times New Roman" w:cs="Times New Roman" w:eastAsia="Times New Roman" w:hAnsi="Times New Roman"/>
          <w:sz w:val="22"/>
          <w:szCs w:val="22"/>
          <w:color w:val="010000"/>
        </w:rPr>
      </w:pPr>
    </w:p>
    <w:p>
      <w:pPr>
        <w:ind w:left="2380" w:hanging="428"/>
        <w:spacing w:after="0"/>
        <w:tabs>
          <w:tab w:leader="none" w:pos="2380" w:val="left"/>
        </w:tabs>
        <w:numPr>
          <w:ilvl w:val="2"/>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fraud or misconduct;</w:t>
      </w:r>
    </w:p>
    <w:p>
      <w:pPr>
        <w:spacing w:after="0" w:line="219" w:lineRule="exact"/>
        <w:rPr>
          <w:rFonts w:ascii="Times New Roman" w:cs="Times New Roman" w:eastAsia="Times New Roman" w:hAnsi="Times New Roman"/>
          <w:sz w:val="22"/>
          <w:szCs w:val="22"/>
          <w:color w:val="010000"/>
        </w:rPr>
      </w:pPr>
    </w:p>
    <w:p>
      <w:pPr>
        <w:jc w:val="both"/>
        <w:ind w:left="660" w:right="20" w:firstLine="1292"/>
        <w:spacing w:after="0" w:line="263" w:lineRule="auto"/>
        <w:tabs>
          <w:tab w:leader="none" w:pos="2476" w:val="left"/>
        </w:tabs>
        <w:numPr>
          <w:ilvl w:val="2"/>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spacing w:after="0" w:line="167"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563" w:val="left"/>
        </w:tabs>
        <w:numPr>
          <w:ilvl w:val="2"/>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material breach of this Agreement or any other written agreement between Employee and one or more members of the Company Group, including Employee’s material breach of any representation, warranty or covenant made under any such agreement;</w:t>
      </w:r>
    </w:p>
    <w:p>
      <w:pPr>
        <w:spacing w:after="0" w:line="172" w:lineRule="exact"/>
        <w:rPr>
          <w:rFonts w:ascii="Times New Roman" w:cs="Times New Roman" w:eastAsia="Times New Roman" w:hAnsi="Times New Roman"/>
          <w:sz w:val="22"/>
          <w:szCs w:val="22"/>
          <w:color w:val="010000"/>
        </w:rPr>
      </w:pPr>
    </w:p>
    <w:p>
      <w:pPr>
        <w:ind w:left="660" w:firstLine="1292"/>
        <w:spacing w:after="0" w:line="271" w:lineRule="auto"/>
        <w:tabs>
          <w:tab w:leader="none" w:pos="2538" w:val="left"/>
        </w:tabs>
        <w:numPr>
          <w:ilvl w:val="2"/>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act of theft, embezzlement or misappropriation of the property of the Company or any other member of the Company Group, in each case,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1" w:name="page12"/>
    <w:bookmarkEnd w:id="11"/>
    <w:p>
      <w:pPr>
        <w:ind w:left="660" w:right="20"/>
        <w:spacing w:after="0" w:line="271" w:lineRule="auto"/>
        <w:rPr>
          <w:sz w:val="20"/>
          <w:szCs w:val="20"/>
          <w:color w:val="auto"/>
        </w:rPr>
      </w:pPr>
      <w:r>
        <w:rPr>
          <w:rFonts w:ascii="Times New Roman" w:cs="Times New Roman" w:eastAsia="Times New Roman" w:hAnsi="Times New Roman"/>
          <w:sz w:val="22"/>
          <w:szCs w:val="22"/>
          <w:color w:val="auto"/>
        </w:rPr>
        <w:t>results in (or could reasonably be expected to result in) material financial or reputational harm to the Company or any other member of the Company Group;</w:t>
      </w:r>
    </w:p>
    <w:p>
      <w:pPr>
        <w:spacing w:after="0" w:line="158" w:lineRule="exact"/>
        <w:rPr>
          <w:sz w:val="20"/>
          <w:szCs w:val="20"/>
          <w:color w:val="auto"/>
        </w:rPr>
      </w:pPr>
    </w:p>
    <w:p>
      <w:pPr>
        <w:jc w:val="both"/>
        <w:ind w:left="660" w:firstLine="1292"/>
        <w:spacing w:after="0" w:line="256" w:lineRule="auto"/>
        <w:tabs>
          <w:tab w:leader="none" w:pos="2464" w:val="left"/>
        </w:tabs>
        <w:numPr>
          <w:ilvl w:val="0"/>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breach of his duty of loyalty to the Company or violation of the Company’s policies (to the extent such policies have been clearly communicated in writing to Employee), including the Company’s code of conduct and business ethics (or similar policies), anti-harassment policy, anti-retaliation, or policies related to age, sex or other prohibited discrimination in the workplace; or</w:t>
      </w:r>
    </w:p>
    <w:p>
      <w:pPr>
        <w:spacing w:after="0" w:line="172" w:lineRule="exact"/>
        <w:rPr>
          <w:rFonts w:ascii="Times New Roman" w:cs="Times New Roman" w:eastAsia="Times New Roman" w:hAnsi="Times New Roman"/>
          <w:sz w:val="22"/>
          <w:szCs w:val="22"/>
          <w:color w:val="010000"/>
        </w:rPr>
      </w:pPr>
    </w:p>
    <w:p>
      <w:pPr>
        <w:ind w:left="2480" w:hanging="528"/>
        <w:spacing w:after="0"/>
        <w:tabs>
          <w:tab w:leader="none" w:pos="2480" w:val="left"/>
        </w:tabs>
        <w:numPr>
          <w:ilvl w:val="0"/>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Employee’s conviction or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 or crime involving moral turpitude.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Notwithstanding the foregoing, no determination of “Cause” may be made pursuant to </w:t>
      </w:r>
      <w:r>
        <w:rPr>
          <w:rFonts w:ascii="Times New Roman" w:cs="Times New Roman" w:eastAsia="Times New Roman" w:hAnsi="Times New Roman"/>
          <w:sz w:val="22"/>
          <w:szCs w:val="22"/>
          <w:u w:val="single" w:color="auto"/>
          <w:color w:val="auto"/>
        </w:rPr>
        <w:t>Sections 8(a)(ii)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unless</w:t>
      </w:r>
    </w:p>
    <w:p>
      <w:pPr>
        <w:spacing w:after="0" w:line="29" w:lineRule="exact"/>
        <w:rPr>
          <w:sz w:val="20"/>
          <w:szCs w:val="20"/>
          <w:color w:val="auto"/>
        </w:rPr>
      </w:pPr>
    </w:p>
    <w:p>
      <w:pPr>
        <w:jc w:val="both"/>
        <w:ind w:firstLine="8"/>
        <w:spacing w:after="0" w:line="246" w:lineRule="auto"/>
        <w:tabs>
          <w:tab w:leader="none" w:pos="31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Employee has been given written notice by the Board describing the specific alleged action(s) or omission(s) that constitute “Cause,” and (2) Employee has failed to cure such acts or omissions within thirty (30) days of such notice from the Board. Upon the termination of Employee’s employment pursuant to this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Times New Roman" w:cs="Times New Roman" w:eastAsia="Times New Roman" w:hAnsi="Times New Roman"/>
          <w:sz w:val="22"/>
          <w:szCs w:val="22"/>
          <w:u w:val="single" w:color="auto"/>
          <w:color w:val="auto"/>
        </w:rPr>
        <w:t>Sections 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7(c)</w:t>
      </w:r>
      <w:r>
        <w:rPr>
          <w:rFonts w:ascii="Times New Roman" w:cs="Times New Roman" w:eastAsia="Times New Roman" w:hAnsi="Times New Roman"/>
          <w:sz w:val="22"/>
          <w:szCs w:val="22"/>
          <w:color w:val="auto"/>
        </w:rPr>
        <w:t xml:space="preserve">, and (C) benefits to which Employee is entitled under the terms of any applicable benefit plan or program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7(a)</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Accrued Benefits</w:t>
      </w:r>
      <w:r>
        <w:rPr>
          <w:rFonts w:ascii="Times New Roman" w:cs="Times New Roman" w:eastAsia="Times New Roman" w:hAnsi="Times New Roman"/>
          <w:sz w:val="22"/>
          <w:szCs w:val="22"/>
          <w:color w:val="auto"/>
        </w:rPr>
        <w:t xml:space="preserve">”). In addition, subject to any limitation under applicable law, previously paid compensation pursuant to </w:t>
      </w:r>
      <w:r>
        <w:rPr>
          <w:rFonts w:ascii="Times New Roman" w:cs="Times New Roman" w:eastAsia="Times New Roman" w:hAnsi="Times New Roman"/>
          <w:sz w:val="22"/>
          <w:szCs w:val="22"/>
          <w:u w:val="single" w:color="auto"/>
          <w:color w:val="auto"/>
        </w:rPr>
        <w:t>Sections 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3(c)</w:t>
      </w:r>
      <w:r>
        <w:rPr>
          <w:rFonts w:ascii="Times New Roman" w:cs="Times New Roman" w:eastAsia="Times New Roman" w:hAnsi="Times New Roman"/>
          <w:sz w:val="22"/>
          <w:szCs w:val="22"/>
          <w:color w:val="auto"/>
        </w:rPr>
        <w:t xml:space="preserve"> shall be subject to clawback or forfeiture and cancellation at the discretion of the Compensation Committee in the event of a termination of Employee’s employment for Cause.</w:t>
      </w:r>
    </w:p>
    <w:p>
      <w:pPr>
        <w:spacing w:after="0" w:line="191" w:lineRule="exact"/>
        <w:rPr>
          <w:rFonts w:ascii="Times New Roman" w:cs="Times New Roman" w:eastAsia="Times New Roman" w:hAnsi="Times New Roman"/>
          <w:sz w:val="22"/>
          <w:szCs w:val="22"/>
          <w:color w:val="auto"/>
        </w:rPr>
      </w:pPr>
    </w:p>
    <w:p>
      <w:pPr>
        <w:jc w:val="both"/>
        <w:ind w:firstLine="1304"/>
        <w:spacing w:after="0" w:line="268" w:lineRule="auto"/>
        <w:tabs>
          <w:tab w:leader="none" w:pos="1804" w:val="left"/>
        </w:tabs>
        <w:numPr>
          <w:ilvl w:val="1"/>
          <w:numId w:val="1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Company’s Ri</w:t>
      </w:r>
      <w:r>
        <w:rPr>
          <w:rFonts w:ascii="Times New Roman" w:cs="Times New Roman" w:eastAsia="Times New Roman" w:hAnsi="Times New Roman"/>
          <w:sz w:val="21"/>
          <w:szCs w:val="21"/>
          <w:color w:val="auto"/>
        </w:rPr>
        <w:t>g</w:t>
      </w:r>
      <w:r>
        <w:rPr>
          <w:rFonts w:ascii="Times New Roman" w:cs="Times New Roman" w:eastAsia="Times New Roman" w:hAnsi="Times New Roman"/>
          <w:sz w:val="21"/>
          <w:szCs w:val="21"/>
          <w:u w:val="single" w:color="auto"/>
          <w:color w:val="auto"/>
        </w:rPr>
        <w:t>ht to Terminate for Convenience or for Non-Renewal of Term</w:t>
      </w:r>
      <w:r>
        <w:rPr>
          <w:rFonts w:ascii="Times New Roman" w:cs="Times New Roman" w:eastAsia="Times New Roman" w:hAnsi="Times New Roman"/>
          <w:sz w:val="21"/>
          <w:szCs w:val="21"/>
          <w:color w:val="auto"/>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Times New Roman" w:cs="Times New Roman" w:eastAsia="Times New Roman" w:hAnsi="Times New Roman"/>
          <w:sz w:val="21"/>
          <w:szCs w:val="21"/>
          <w:u w:val="single" w:color="auto"/>
          <w:color w:val="auto"/>
        </w:rPr>
        <w:t>Section 8(f)</w:t>
      </w:r>
      <w:r>
        <w:rPr>
          <w:rFonts w:ascii="Times New Roman" w:cs="Times New Roman" w:eastAsia="Times New Roman" w:hAnsi="Times New Roman"/>
          <w:sz w:val="21"/>
          <w:szCs w:val="21"/>
          <w:color w:val="auto"/>
        </w:rPr>
        <w:t xml:space="preserve">. The Company shall also have the right to terminate Employee by non-renewal of the Term or any extension thereof upon ninety (90)-days written notice to Employee, in which event Employee shall receive the compensation and benefits described in </w:t>
      </w:r>
      <w:r>
        <w:rPr>
          <w:rFonts w:ascii="Times New Roman" w:cs="Times New Roman" w:eastAsia="Times New Roman" w:hAnsi="Times New Roman"/>
          <w:sz w:val="21"/>
          <w:szCs w:val="21"/>
          <w:u w:val="single" w:color="auto"/>
          <w:color w:val="auto"/>
        </w:rPr>
        <w:t>Section 8(f)</w:t>
      </w:r>
      <w:r>
        <w:rPr>
          <w:rFonts w:ascii="Times New Roman" w:cs="Times New Roman" w:eastAsia="Times New Roman" w:hAnsi="Times New Roman"/>
          <w:sz w:val="21"/>
          <w:szCs w:val="21"/>
          <w:color w:val="auto"/>
        </w:rPr>
        <w:t>.</w:t>
      </w:r>
    </w:p>
    <w:p>
      <w:pPr>
        <w:spacing w:after="0" w:line="163" w:lineRule="exact"/>
        <w:rPr>
          <w:rFonts w:ascii="Times New Roman" w:cs="Times New Roman" w:eastAsia="Times New Roman" w:hAnsi="Times New Roman"/>
          <w:sz w:val="21"/>
          <w:szCs w:val="21"/>
          <w:color w:val="010000"/>
        </w:rPr>
      </w:pPr>
    </w:p>
    <w:p>
      <w:pPr>
        <w:jc w:val="both"/>
        <w:ind w:firstLine="1304"/>
        <w:spacing w:after="0" w:line="256" w:lineRule="auto"/>
        <w:tabs>
          <w:tab w:leader="none" w:pos="1833" w:val="left"/>
        </w:tabs>
        <w:numPr>
          <w:ilvl w:val="1"/>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Employee’s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Terminate for Good Reason</w:t>
      </w:r>
      <w:r>
        <w:rPr>
          <w:rFonts w:ascii="Times New Roman" w:cs="Times New Roman" w:eastAsia="Times New Roman" w:hAnsi="Times New Roman"/>
          <w:sz w:val="22"/>
          <w:szCs w:val="22"/>
          <w:color w:val="auto"/>
        </w:rPr>
        <w:t xml:space="preserve">. Employee shall have the right to terminate Employee’s employment with the Company at any time for Good Reason, in which event Employee shall receive the compensation and benefits described in </w:t>
      </w:r>
      <w:r>
        <w:rPr>
          <w:rFonts w:ascii="Times New Roman" w:cs="Times New Roman" w:eastAsia="Times New Roman" w:hAnsi="Times New Roman"/>
          <w:sz w:val="22"/>
          <w:szCs w:val="22"/>
          <w:u w:val="single" w:color="auto"/>
          <w:color w:val="auto"/>
        </w:rPr>
        <w:t>Section 8(f)</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any of the following occurring without Employee’s consent:</w:t>
      </w:r>
    </w:p>
    <w:p>
      <w:pPr>
        <w:spacing w:after="0" w:line="176" w:lineRule="exact"/>
        <w:rPr>
          <w:rFonts w:ascii="Times New Roman" w:cs="Times New Roman" w:eastAsia="Times New Roman" w:hAnsi="Times New Roman"/>
          <w:sz w:val="22"/>
          <w:szCs w:val="22"/>
          <w:color w:val="010000"/>
        </w:rPr>
      </w:pPr>
    </w:p>
    <w:p>
      <w:pPr>
        <w:ind w:left="2620" w:hanging="668"/>
        <w:spacing w:after="0"/>
        <w:tabs>
          <w:tab w:leader="none" w:pos="2620" w:val="left"/>
        </w:tabs>
        <w:numPr>
          <w:ilvl w:val="2"/>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adverse change in Employee’s title, duties or responsibilities (including reporting</w:t>
      </w:r>
    </w:p>
    <w:p>
      <w:pPr>
        <w:spacing w:after="0" w:line="27" w:lineRule="exact"/>
        <w:rPr>
          <w:rFonts w:ascii="Times New Roman" w:cs="Times New Roman" w:eastAsia="Times New Roman" w:hAnsi="Times New Roman"/>
          <w:sz w:val="22"/>
          <w:szCs w:val="22"/>
          <w:color w:val="010000"/>
        </w:rPr>
      </w:pP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responsibilities);</w:t>
      </w:r>
    </w:p>
    <w:p>
      <w:pPr>
        <w:spacing w:after="0" w:line="195" w:lineRule="exact"/>
        <w:rPr>
          <w:rFonts w:ascii="Times New Roman" w:cs="Times New Roman" w:eastAsia="Times New Roman" w:hAnsi="Times New Roman"/>
          <w:sz w:val="22"/>
          <w:szCs w:val="22"/>
          <w:color w:val="010000"/>
        </w:rPr>
      </w:pPr>
    </w:p>
    <w:p>
      <w:pPr>
        <w:ind w:left="2440" w:hanging="488"/>
        <w:spacing w:after="0"/>
        <w:tabs>
          <w:tab w:leader="none" w:pos="2440" w:val="left"/>
        </w:tabs>
        <w:numPr>
          <w:ilvl w:val="2"/>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reduction in Employee’s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2" w:name="page13"/>
    <w:bookmarkEnd w:id="12"/>
    <w:p>
      <w:pPr>
        <w:ind w:left="660" w:right="20" w:firstLine="1292"/>
        <w:spacing w:after="0" w:line="271" w:lineRule="auto"/>
        <w:tabs>
          <w:tab w:leader="none" w:pos="2604"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relocation of Employee’s primary work location to a distance of more than 50 miles from the Houston, Texas metropolitan area; or</w:t>
      </w:r>
    </w:p>
    <w:p>
      <w:pPr>
        <w:spacing w:after="0" w:line="157" w:lineRule="exact"/>
        <w:rPr>
          <w:rFonts w:ascii="Times New Roman" w:cs="Times New Roman" w:eastAsia="Times New Roman" w:hAnsi="Times New Roman"/>
          <w:sz w:val="22"/>
          <w:szCs w:val="22"/>
          <w:color w:val="010000"/>
        </w:rPr>
      </w:pPr>
    </w:p>
    <w:p>
      <w:pPr>
        <w:ind w:left="2480" w:hanging="528"/>
        <w:spacing w:after="0"/>
        <w:tabs>
          <w:tab w:leader="none" w:pos="2480"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breach by the Company of any of its obligations under this Agreement.</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Company and Employee agree that Good Reason shall not exist unless and until Employee provides the Company with written notice of the acts alleged to constitute Good Reason within ninety (90) days of Employee’s knowledge of the occurrence of such event, and Company fails to cure such acts within thirty (30) days of receipt of such notice. Employee must terminate employment within sixty (60) days following the expiration of such cure period for the termination to be on account of Good Reason.</w:t>
      </w:r>
    </w:p>
    <w:p>
      <w:pPr>
        <w:spacing w:after="0" w:line="194" w:lineRule="exact"/>
        <w:rPr>
          <w:sz w:val="20"/>
          <w:szCs w:val="20"/>
          <w:color w:val="auto"/>
        </w:rPr>
      </w:pPr>
    </w:p>
    <w:p>
      <w:pPr>
        <w:jc w:val="both"/>
        <w:ind w:firstLine="1304"/>
        <w:spacing w:after="0" w:line="259" w:lineRule="auto"/>
        <w:tabs>
          <w:tab w:leader="none" w:pos="1804" w:val="left"/>
        </w:tabs>
        <w:numPr>
          <w:ilvl w:val="1"/>
          <w:numId w:val="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Death or Disabilit</w:t>
      </w:r>
      <w:r>
        <w:rPr>
          <w:rFonts w:ascii="Times New Roman" w:cs="Times New Roman" w:eastAsia="Times New Roman" w:hAnsi="Times New Roman"/>
          <w:sz w:val="21"/>
          <w:szCs w:val="21"/>
          <w:color w:val="auto"/>
        </w:rPr>
        <w:t>y.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(the “</w:t>
      </w:r>
      <w:r>
        <w:rPr>
          <w:rFonts w:ascii="Times New Roman" w:cs="Times New Roman" w:eastAsia="Times New Roman" w:hAnsi="Times New Roman"/>
          <w:sz w:val="21"/>
          <w:szCs w:val="21"/>
          <w:u w:val="single" w:color="auto"/>
          <w:color w:val="auto"/>
        </w:rPr>
        <w:t>Prior Year Bonus</w:t>
      </w:r>
      <w:r>
        <w:rPr>
          <w:rFonts w:ascii="Times New Roman" w:cs="Times New Roman" w:eastAsia="Times New Roman" w:hAnsi="Times New Roman"/>
          <w:sz w:val="21"/>
          <w:szCs w:val="21"/>
          <w:color w:val="auto"/>
        </w:rPr>
        <w:t>”) (which amount shall be paid within sixty (60) days following the date of such termination of employment but in no event later than March 15 of the year following the Bonus Year to which such Annual Bonus relates), (iii) an amount equal to the Target Bonus for the year in which such termination of employment occurs, prorated for the period of days beginning on January 1 and ending on the date of such termination of employment relative to the number of days in the applicable Bonus Year (the “</w:t>
      </w:r>
      <w:r>
        <w:rPr>
          <w:rFonts w:ascii="Times New Roman" w:cs="Times New Roman" w:eastAsia="Times New Roman" w:hAnsi="Times New Roman"/>
          <w:sz w:val="21"/>
          <w:szCs w:val="21"/>
          <w:u w:val="single" w:color="auto"/>
          <w:color w:val="auto"/>
        </w:rPr>
        <w:t>Prorated Target Bonus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Prorated Target Bonus described in clause</w:t>
      </w:r>
    </w:p>
    <w:p>
      <w:pPr>
        <w:spacing w:after="0" w:line="4" w:lineRule="exact"/>
        <w:rPr>
          <w:rFonts w:ascii="Times New Roman" w:cs="Times New Roman" w:eastAsia="Times New Roman" w:hAnsi="Times New Roman"/>
          <w:sz w:val="21"/>
          <w:szCs w:val="21"/>
          <w:color w:val="010000"/>
        </w:rPr>
      </w:pPr>
    </w:p>
    <w:p>
      <w:pPr>
        <w:jc w:val="both"/>
        <w:ind w:firstLine="8"/>
        <w:spacing w:after="0" w:line="246" w:lineRule="auto"/>
        <w:tabs>
          <w:tab w:leader="none" w:pos="39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preceding sentence, if any, shall be paid in a lump sum in cash on the Company’s first regularly scheduled pay date that is on or after the date that is sixty (60) days after the date on which Employee’s employment terminates (the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and (iv) subject to Employee’s timely election of continuation coverage under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xml:space="preserve">”), continued participation (pursuant to COBRA) in the Company’s group health plan (to the extent permitted under applicable law and the terms of such plan) covering Employee and Employee’s eligible dependents for a period of thirty-six (36) months at Employee’s (or Employee’s estate’s, in the case of Employee’s death) sole expense,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may modify the continuation coverage contemplated by this </w:t>
      </w:r>
      <w:r>
        <w:rPr>
          <w:rFonts w:ascii="Times New Roman" w:cs="Times New Roman" w:eastAsia="Times New Roman" w:hAnsi="Times New Roman"/>
          <w:sz w:val="22"/>
          <w:szCs w:val="22"/>
          <w:u w:val="single" w:color="auto"/>
          <w:color w:val="auto"/>
        </w:rPr>
        <w:t>Section 0</w:t>
      </w:r>
      <w:r>
        <w:rPr>
          <w:rFonts w:ascii="Times New Roman" w:cs="Times New Roman" w:eastAsia="Times New Roman" w:hAnsi="Times New Roman"/>
          <w:sz w:val="22"/>
          <w:szCs w:val="22"/>
          <w:color w:val="auto"/>
        </w:rPr>
        <w:t xml:space="preserve"> to the extent reasonably necessary to avoid the imposition of any excise taxes on the Company for failure to comply with the nondiscrimination requirements of Section 105(h) of the Internal Revenue Code of 1986, as amended; the Patient Protection and Affordable Care Act of 2010, as amended; and/or the Health Care and Education Reconciliation Act of 2010, as amended, and in each case, the regulations and guidance promulgated thereunder (to the extent applicable) (the “</w:t>
      </w:r>
      <w:r>
        <w:rPr>
          <w:rFonts w:ascii="Times New Roman" w:cs="Times New Roman" w:eastAsia="Times New Roman" w:hAnsi="Times New Roman"/>
          <w:sz w:val="22"/>
          <w:szCs w:val="22"/>
          <w:u w:val="single" w:color="auto"/>
          <w:color w:val="auto"/>
        </w:rPr>
        <w:t>COBRA Continuation</w:t>
      </w:r>
      <w:r>
        <w:rPr>
          <w:rFonts w:ascii="Times New Roman" w:cs="Times New Roman" w:eastAsia="Times New Roman" w:hAnsi="Times New Roman"/>
          <w:sz w:val="22"/>
          <w:szCs w:val="22"/>
          <w:color w:val="auto"/>
        </w:rPr>
        <w:t>”). For purposes of this Agreement, a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3" w:name="page14"/>
    <w:bookmarkEnd w:id="13"/>
    <w:p>
      <w:pPr>
        <w:jc w:val="both"/>
        <w:ind w:firstLine="1304"/>
        <w:spacing w:after="0" w:line="246" w:lineRule="auto"/>
        <w:tabs>
          <w:tab w:leader="none" w:pos="1752" w:val="left"/>
        </w:tabs>
        <w:numPr>
          <w:ilvl w:val="1"/>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Employee’s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Terminate for Convenience or Non-Renewal of Term</w:t>
      </w:r>
      <w:r>
        <w:rPr>
          <w:rFonts w:ascii="Times New Roman" w:cs="Times New Roman" w:eastAsia="Times New Roman" w:hAnsi="Times New Roman"/>
          <w:sz w:val="22"/>
          <w:szCs w:val="22"/>
          <w:color w:val="auto"/>
        </w:rPr>
        <w:t xml:space="preserve">. In addition to Employee’s right to terminate Employee’s employment for Good Reason, Employee shall have the right to terminate Employee’s employment with the Company for convenience at any time and for any other reason, or no reason at all, upon sixty (60) days’ advance written notice to the Company (or ninety (90) days’, in the event of a non-renewal of the Term or any extension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Employee has provided notice to the Company of Employee’s termination of employment, the Company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Times New Roman" w:cs="Times New Roman" w:eastAsia="Times New Roman" w:hAnsi="Times New Roman"/>
          <w:sz w:val="22"/>
          <w:szCs w:val="22"/>
          <w:u w:val="single" w:color="auto"/>
          <w:color w:val="auto"/>
        </w:rPr>
        <w:t>Section 8(b)</w:t>
      </w:r>
      <w:r>
        <w:rPr>
          <w:rFonts w:ascii="Times New Roman" w:cs="Times New Roman" w:eastAsia="Times New Roman" w:hAnsi="Times New Roman"/>
          <w:sz w:val="22"/>
          <w:szCs w:val="22"/>
          <w:color w:val="auto"/>
        </w:rPr>
        <w:t xml:space="preserve">). Upon the termination of Employee’s employment pursuant to this </w:t>
      </w:r>
      <w:r>
        <w:rPr>
          <w:rFonts w:ascii="Times New Roman" w:cs="Times New Roman" w:eastAsia="Times New Roman" w:hAnsi="Times New Roman"/>
          <w:sz w:val="22"/>
          <w:szCs w:val="22"/>
          <w:u w:val="single" w:color="auto"/>
          <w:color w:val="auto"/>
        </w:rPr>
        <w:t>Section 8(e)</w:t>
      </w:r>
      <w:r>
        <w:rPr>
          <w:rFonts w:ascii="Times New Roman" w:cs="Times New Roman" w:eastAsia="Times New Roman" w:hAnsi="Times New Roman"/>
          <w:sz w:val="22"/>
          <w:szCs w:val="22"/>
          <w:color w:val="auto"/>
        </w:rPr>
        <w:t xml:space="preserve">, (i) the Company shall pay to Employee the Accrued Benefits and (ii) if Employee provides at least ninety (90) days’ written notice of termination and such termination occurs at or following the end of the initial Term, Employee shall be eligible for the COBRA Continuation, subject to the same terms, conditions and eligibility requirements set forth in </w:t>
      </w:r>
      <w:r>
        <w:rPr>
          <w:rFonts w:ascii="Times New Roman" w:cs="Times New Roman" w:eastAsia="Times New Roman" w:hAnsi="Times New Roman"/>
          <w:sz w:val="22"/>
          <w:szCs w:val="22"/>
          <w:u w:val="single" w:color="auto"/>
          <w:color w:val="auto"/>
        </w:rPr>
        <w:t>Section 0</w:t>
      </w:r>
      <w:r>
        <w:rPr>
          <w:rFonts w:ascii="Times New Roman" w:cs="Times New Roman" w:eastAsia="Times New Roman" w:hAnsi="Times New Roman"/>
          <w:sz w:val="22"/>
          <w:szCs w:val="22"/>
          <w:color w:val="auto"/>
        </w:rPr>
        <w:t>. Additionally, if Employee (a) provides at least ninety (90) days’ written notice of termination related to a non-renewal of term (including any renewal terms following the initial Term), (b)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upon such termination, and (c) abides by the terms of each of </w:t>
      </w:r>
      <w:r>
        <w:rPr>
          <w:rFonts w:ascii="Times New Roman" w:cs="Times New Roman" w:eastAsia="Times New Roman" w:hAnsi="Times New Roman"/>
          <w:sz w:val="22"/>
          <w:szCs w:val="22"/>
          <w:u w:val="single" w:color="auto"/>
          <w:color w:val="auto"/>
        </w:rPr>
        <w:t>Sections (c)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Employee shall receive the Prior Year Bonus, if any (which amount shall be paid within sixty (60) days following the date of such termination of employment but in no event later than March 15 of the year following the Bonus Year to which such Annual Bonus relates).</w:t>
      </w:r>
    </w:p>
    <w:p>
      <w:pPr>
        <w:spacing w:after="0" w:line="205" w:lineRule="exact"/>
        <w:rPr>
          <w:rFonts w:ascii="Times New Roman" w:cs="Times New Roman" w:eastAsia="Times New Roman" w:hAnsi="Times New Roman"/>
          <w:sz w:val="22"/>
          <w:szCs w:val="22"/>
          <w:color w:val="010000"/>
        </w:rPr>
      </w:pPr>
    </w:p>
    <w:p>
      <w:pPr>
        <w:ind w:left="1760" w:hanging="456"/>
        <w:spacing w:after="0"/>
        <w:tabs>
          <w:tab w:leader="none" w:pos="1760" w:val="left"/>
        </w:tabs>
        <w:numPr>
          <w:ilvl w:val="1"/>
          <w:numId w:val="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Effect of Termination of Employment without Cause, for Good Reason, or for the Company’s Non-Renewal</w:t>
      </w:r>
    </w:p>
    <w:p>
      <w:pPr>
        <w:spacing w:after="0" w:line="40"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u w:val="single" w:color="auto"/>
          <w:color w:val="auto"/>
        </w:rPr>
        <w:t>of the Term</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1"/>
          <w:szCs w:val="21"/>
          <w:color w:val="010000"/>
        </w:rPr>
      </w:pPr>
    </w:p>
    <w:p>
      <w:pPr>
        <w:ind w:left="2400" w:hanging="448"/>
        <w:spacing w:after="0"/>
        <w:tabs>
          <w:tab w:leader="none" w:pos="2400" w:val="left"/>
        </w:tabs>
        <w:numPr>
          <w:ilvl w:val="2"/>
          <w:numId w:val="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Outside a Change in Control Period</w:t>
      </w:r>
      <w:r>
        <w:rPr>
          <w:rFonts w:ascii="Times New Roman" w:cs="Times New Roman" w:eastAsia="Times New Roman" w:hAnsi="Times New Roman"/>
          <w:sz w:val="21"/>
          <w:szCs w:val="21"/>
          <w:color w:val="auto"/>
        </w:rPr>
        <w:t>. If Employee’s employment hereunder is terminated</w:t>
      </w:r>
    </w:p>
    <w:p>
      <w:pPr>
        <w:spacing w:after="0" w:line="39" w:lineRule="exact"/>
        <w:rPr>
          <w:rFonts w:ascii="Times New Roman" w:cs="Times New Roman" w:eastAsia="Times New Roman" w:hAnsi="Times New Roman"/>
          <w:sz w:val="21"/>
          <w:szCs w:val="21"/>
          <w:color w:val="010000"/>
        </w:rPr>
      </w:pPr>
    </w:p>
    <w:p>
      <w:pPr>
        <w:jc w:val="both"/>
        <w:ind w:left="660" w:hanging="4"/>
        <w:spacing w:after="0" w:line="259" w:lineRule="auto"/>
        <w:tabs>
          <w:tab w:leader="none" w:pos="1017"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Company without Cause (including as a result of a non-renewal of the Term or any extension thereof) pursuant to </w:t>
      </w:r>
      <w:r>
        <w:rPr>
          <w:rFonts w:ascii="Times New Roman" w:cs="Times New Roman" w:eastAsia="Times New Roman" w:hAnsi="Times New Roman"/>
          <w:sz w:val="21"/>
          <w:szCs w:val="21"/>
          <w:u w:val="single" w:color="auto"/>
          <w:color w:val="auto"/>
        </w:rPr>
        <w:t>Section 8(b)</w:t>
      </w:r>
      <w:r>
        <w:rPr>
          <w:rFonts w:ascii="Times New Roman" w:cs="Times New Roman" w:eastAsia="Times New Roman" w:hAnsi="Times New Roman"/>
          <w:sz w:val="21"/>
          <w:szCs w:val="21"/>
          <w:color w:val="auto"/>
        </w:rPr>
        <w:t xml:space="preserve"> or is terminated by Employee for Good Reason pursuant to </w:t>
      </w:r>
      <w:r>
        <w:rPr>
          <w:rFonts w:ascii="Times New Roman" w:cs="Times New Roman" w:eastAsia="Times New Roman" w:hAnsi="Times New Roman"/>
          <w:sz w:val="21"/>
          <w:szCs w:val="21"/>
          <w:u w:val="single" w:color="auto"/>
          <w:color w:val="auto"/>
        </w:rPr>
        <w:t>Section 8(c)</w:t>
      </w:r>
      <w:r>
        <w:rPr>
          <w:rFonts w:ascii="Times New Roman" w:cs="Times New Roman" w:eastAsia="Times New Roman" w:hAnsi="Times New Roman"/>
          <w:sz w:val="21"/>
          <w:szCs w:val="21"/>
          <w:color w:val="auto"/>
        </w:rPr>
        <w:t>, and (B) the Termination Date is not on or within eighteen (18) months following a Change in Control (as defined in the LTIP, and such period, the “</w:t>
      </w:r>
      <w:r>
        <w:rPr>
          <w:rFonts w:ascii="Times New Roman" w:cs="Times New Roman" w:eastAsia="Times New Roman" w:hAnsi="Times New Roman"/>
          <w:sz w:val="21"/>
          <w:szCs w:val="21"/>
          <w:u w:val="single" w:color="auto"/>
          <w:color w:val="auto"/>
        </w:rPr>
        <w:t>Change in Control Period</w:t>
      </w:r>
      <w:r>
        <w:rPr>
          <w:rFonts w:ascii="Times New Roman" w:cs="Times New Roman" w:eastAsia="Times New Roman" w:hAnsi="Times New Roman"/>
          <w:sz w:val="21"/>
          <w:szCs w:val="21"/>
          <w:color w:val="auto"/>
        </w:rPr>
        <w:t>”), then the Company shall pay Employee the Accrued Benefits and any Prior Year Bonus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4" w:name="page15"/>
    <w:bookmarkEnd w:id="14"/>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any time provided by the Company to do so, the Release,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Times New Roman" w:cs="Times New Roman" w:eastAsia="Times New Roman" w:hAnsi="Times New Roman"/>
          <w:sz w:val="21"/>
          <w:szCs w:val="21"/>
          <w:u w:val="single" w:color="auto"/>
          <w:color w:val="auto"/>
        </w:rPr>
        <w:t>Section 8(f)</w:t>
      </w:r>
      <w:r>
        <w:rPr>
          <w:rFonts w:ascii="Times New Roman" w:cs="Times New Roman" w:eastAsia="Times New Roman" w:hAnsi="Times New Roman"/>
          <w:sz w:val="21"/>
          <w:szCs w:val="21"/>
          <w:color w:val="auto"/>
        </w:rPr>
        <w:t xml:space="preserve">; and (y) abides by the terms of each of </w:t>
      </w:r>
      <w:r>
        <w:rPr>
          <w:rFonts w:ascii="Times New Roman" w:cs="Times New Roman" w:eastAsia="Times New Roman" w:hAnsi="Times New Roman"/>
          <w:sz w:val="21"/>
          <w:szCs w:val="21"/>
          <w:u w:val="single" w:color="auto"/>
          <w:color w:val="auto"/>
        </w:rPr>
        <w:t>Sections 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w:t>
      </w:r>
      <w:r>
        <w:rPr>
          <w:rFonts w:ascii="Times New Roman" w:cs="Times New Roman" w:eastAsia="Times New Roman" w:hAnsi="Times New Roman"/>
          <w:sz w:val="21"/>
          <w:szCs w:val="21"/>
          <w:color w:val="auto"/>
        </w:rPr>
        <w:t xml:space="preserve"> then:</w:t>
      </w:r>
    </w:p>
    <w:p>
      <w:pPr>
        <w:spacing w:after="0" w:line="169" w:lineRule="exact"/>
        <w:rPr>
          <w:sz w:val="20"/>
          <w:szCs w:val="20"/>
          <w:color w:val="auto"/>
        </w:rPr>
      </w:pPr>
    </w:p>
    <w:p>
      <w:pPr>
        <w:jc w:val="both"/>
        <w:ind w:left="640" w:firstLine="1300"/>
        <w:spacing w:after="0" w:line="247" w:lineRule="auto"/>
        <w:tabs>
          <w:tab w:leader="none" w:pos="2546" w:val="left"/>
        </w:tabs>
        <w:numPr>
          <w:ilvl w:val="0"/>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make severance payments to Employee in a total amount equal to (i) twenty-four (24) months’ worth of Employee’s Base Salary and (ii) two (2) times the target Annual Bonus, where each are determined as of the year in which such termination occurs (such total severance payments being referred to as the “</w:t>
      </w:r>
      <w:r>
        <w:rPr>
          <w:rFonts w:ascii="Times New Roman" w:cs="Times New Roman" w:eastAsia="Times New Roman" w:hAnsi="Times New Roman"/>
          <w:sz w:val="22"/>
          <w:szCs w:val="22"/>
          <w:u w:val="single" w:color="auto"/>
          <w:color w:val="auto"/>
        </w:rPr>
        <w:t>Non-CIC Severance Payment</w:t>
      </w:r>
      <w:r>
        <w:rPr>
          <w:rFonts w:ascii="Times New Roman" w:cs="Times New Roman" w:eastAsia="Times New Roman" w:hAnsi="Times New Roman"/>
          <w:sz w:val="22"/>
          <w:szCs w:val="22"/>
          <w:color w:val="auto"/>
        </w:rPr>
        <w:t>”). The Non-CIC Severance Payment will be divided into substantially equal installments paid over the twenty-four (24)-month period following the Termination Date. On the Company’s first regularly scheduled pay date that is on or after the date that is sixty (60) days after the Termination Date (the “</w:t>
      </w:r>
      <w:r>
        <w:rPr>
          <w:rFonts w:ascii="Times New Roman" w:cs="Times New Roman" w:eastAsia="Times New Roman" w:hAnsi="Times New Roman"/>
          <w:sz w:val="22"/>
          <w:szCs w:val="22"/>
          <w:u w:val="single" w:color="auto"/>
          <w:color w:val="auto"/>
        </w:rPr>
        <w:t>First Payment Date</w:t>
      </w:r>
      <w:r>
        <w:rPr>
          <w:rFonts w:ascii="Times New Roman" w:cs="Times New Roman" w:eastAsia="Times New Roman" w:hAnsi="Times New Roman"/>
          <w:sz w:val="22"/>
          <w:szCs w:val="22"/>
          <w:color w:val="auto"/>
        </w:rPr>
        <w:t xml:space="preserve">”), the Company shall pay to Employee, without interest, a number of such installments equal to the 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such twenty-four (24)-month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to the extent, if any, that the aggregate amount of the installments of the Non-CIC Severance Payment that would otherwise be paid pursuant to the preceding provisions of this </w:t>
      </w:r>
      <w:r>
        <w:rPr>
          <w:rFonts w:ascii="Times New Roman" w:cs="Times New Roman" w:eastAsia="Times New Roman" w:hAnsi="Times New Roman"/>
          <w:sz w:val="22"/>
          <w:szCs w:val="22"/>
          <w:u w:val="single" w:color="auto"/>
          <w:color w:val="auto"/>
        </w:rPr>
        <w:t>Section 8(f)(i)(A)</w:t>
      </w:r>
      <w:r>
        <w:rPr>
          <w:rFonts w:ascii="Times New Roman" w:cs="Times New Roman" w:eastAsia="Times New Roman" w:hAnsi="Times New Roman"/>
          <w:sz w:val="22"/>
          <w:szCs w:val="22"/>
          <w:color w:val="auto"/>
        </w:rPr>
        <w:t xml:space="preserve"> after March 15 of the calendar year following the calendar year in which the Termination Date occurs (the “</w:t>
      </w:r>
      <w:r>
        <w:rPr>
          <w:rFonts w:ascii="Times New Roman" w:cs="Times New Roman" w:eastAsia="Times New Roman" w:hAnsi="Times New Roman"/>
          <w:sz w:val="22"/>
          <w:szCs w:val="22"/>
          <w:u w:val="single" w:color="auto"/>
          <w:color w:val="auto"/>
        </w:rPr>
        <w:t>Applicable March 15</w:t>
      </w:r>
      <w:r>
        <w:rPr>
          <w:rFonts w:ascii="Times New Roman" w:cs="Times New Roman" w:eastAsia="Times New Roman" w:hAnsi="Times New Roman"/>
          <w:sz w:val="22"/>
          <w:szCs w:val="22"/>
          <w:color w:val="auto"/>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Non-CIC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except a Saturday, Sunday or other day on which commercial banks in Houston, Texas, are authorized or required by law to be closed.</w:t>
      </w:r>
    </w:p>
    <w:p>
      <w:pPr>
        <w:spacing w:after="0" w:line="185" w:lineRule="exact"/>
        <w:rPr>
          <w:rFonts w:ascii="Times New Roman" w:cs="Times New Roman" w:eastAsia="Times New Roman" w:hAnsi="Times New Roman"/>
          <w:sz w:val="22"/>
          <w:szCs w:val="22"/>
          <w:color w:val="010000"/>
        </w:rPr>
      </w:pPr>
    </w:p>
    <w:p>
      <w:pPr>
        <w:jc w:val="both"/>
        <w:ind w:left="640" w:firstLine="1300"/>
        <w:spacing w:after="0" w:line="263" w:lineRule="auto"/>
        <w:tabs>
          <w:tab w:leader="none" w:pos="2494" w:val="left"/>
        </w:tabs>
        <w:numPr>
          <w:ilvl w:val="0"/>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pay to Employee the Prorated Target Bonus, payable in a lump sum on the Company’s first regularly scheduled pay date that is on or after the date that is sixty (60) days after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80"/>
          </w:cols>
          <w:pgMar w:left="980" w:top="1422" w:right="339" w:bottom="1440" w:gutter="0" w:footer="0" w:header="0"/>
        </w:sectPr>
      </w:pPr>
    </w:p>
    <w:bookmarkStart w:id="15" w:name="page16"/>
    <w:bookmarkEnd w:id="15"/>
    <w:p>
      <w:pPr>
        <w:ind w:left="644" w:right="20" w:firstLine="1300"/>
        <w:spacing w:after="0" w:line="271" w:lineRule="auto"/>
        <w:tabs>
          <w:tab w:leader="none" w:pos="2660" w:val="left"/>
        </w:tabs>
        <w:numPr>
          <w:ilvl w:val="0"/>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Employee shall be eligible for the COBRA Continuation, subject to the same terms, conditions and eligibility requirements set forth in </w:t>
      </w:r>
      <w:r>
        <w:rPr>
          <w:rFonts w:ascii="Times New Roman" w:cs="Times New Roman" w:eastAsia="Times New Roman" w:hAnsi="Times New Roman"/>
          <w:sz w:val="22"/>
          <w:szCs w:val="22"/>
          <w:u w:val="single" w:color="auto"/>
          <w:color w:val="auto"/>
        </w:rPr>
        <w:t>Section 0</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4" w:right="20"/>
        <w:spacing w:after="0" w:line="284" w:lineRule="auto"/>
        <w:rPr>
          <w:sz w:val="20"/>
          <w:szCs w:val="20"/>
          <w:color w:val="auto"/>
        </w:rPr>
      </w:pPr>
      <w:r>
        <w:rPr>
          <w:rFonts w:ascii="Times New Roman" w:cs="Times New Roman" w:eastAsia="Times New Roman" w:hAnsi="Times New Roman"/>
          <w:sz w:val="22"/>
          <w:szCs w:val="22"/>
          <w:color w:val="auto"/>
        </w:rPr>
        <w:t>The payments and benefits described in clauses (A), (B), and (C) above are collectively referred to herein as the “</w:t>
      </w:r>
      <w:r>
        <w:rPr>
          <w:rFonts w:ascii="Times New Roman" w:cs="Times New Roman" w:eastAsia="Times New Roman" w:hAnsi="Times New Roman"/>
          <w:sz w:val="22"/>
          <w:szCs w:val="22"/>
          <w:u w:val="single" w:color="auto"/>
          <w:color w:val="auto"/>
        </w:rPr>
        <w:t>Non-CIC Termination Benefits</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1804" w:hanging="508"/>
        <w:spacing w:after="0"/>
        <w:tabs>
          <w:tab w:leader="none" w:pos="1804" w:val="left"/>
        </w:tabs>
        <w:numPr>
          <w:ilvl w:val="1"/>
          <w:numId w:val="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Within a Change in Control Period</w:t>
      </w:r>
      <w:r>
        <w:rPr>
          <w:rFonts w:ascii="Times New Roman" w:cs="Times New Roman" w:eastAsia="Times New Roman" w:hAnsi="Times New Roman"/>
          <w:sz w:val="21"/>
          <w:szCs w:val="21"/>
          <w:color w:val="auto"/>
        </w:rPr>
        <w:t>. If Employee’s employment hereunder is terminated</w:t>
      </w:r>
    </w:p>
    <w:p>
      <w:pPr>
        <w:spacing w:after="0" w:line="39" w:lineRule="exact"/>
        <w:rPr>
          <w:rFonts w:ascii="Times New Roman" w:cs="Times New Roman" w:eastAsia="Times New Roman" w:hAnsi="Times New Roman"/>
          <w:sz w:val="21"/>
          <w:szCs w:val="21"/>
          <w:color w:val="010000"/>
        </w:rPr>
      </w:pPr>
    </w:p>
    <w:p>
      <w:pPr>
        <w:jc w:val="both"/>
        <w:ind w:left="4" w:hanging="4"/>
        <w:spacing w:after="0" w:line="258" w:lineRule="auto"/>
        <w:tabs>
          <w:tab w:leader="none" w:pos="361"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Company without Cause (including as a result of a non-renewal of the Term or any extension thereof) pursuant to </w:t>
      </w:r>
      <w:r>
        <w:rPr>
          <w:rFonts w:ascii="Times New Roman" w:cs="Times New Roman" w:eastAsia="Times New Roman" w:hAnsi="Times New Roman"/>
          <w:sz w:val="21"/>
          <w:szCs w:val="21"/>
          <w:u w:val="single" w:color="auto"/>
          <w:color w:val="auto"/>
        </w:rPr>
        <w:t>Section 8(b),</w:t>
      </w:r>
      <w:r>
        <w:rPr>
          <w:rFonts w:ascii="Times New Roman" w:cs="Times New Roman" w:eastAsia="Times New Roman" w:hAnsi="Times New Roman"/>
          <w:sz w:val="21"/>
          <w:szCs w:val="21"/>
          <w:color w:val="auto"/>
        </w:rPr>
        <w:t xml:space="preserve"> or is terminated by Employee for Good Reason pursuant to </w:t>
      </w:r>
      <w:r>
        <w:rPr>
          <w:rFonts w:ascii="Times New Roman" w:cs="Times New Roman" w:eastAsia="Times New Roman" w:hAnsi="Times New Roman"/>
          <w:sz w:val="21"/>
          <w:szCs w:val="21"/>
          <w:u w:val="single" w:color="auto"/>
          <w:color w:val="auto"/>
        </w:rPr>
        <w:t>Section 8(c)</w:t>
      </w:r>
      <w:r>
        <w:rPr>
          <w:rFonts w:ascii="Times New Roman" w:cs="Times New Roman" w:eastAsia="Times New Roman" w:hAnsi="Times New Roman"/>
          <w:sz w:val="21"/>
          <w:szCs w:val="21"/>
          <w:color w:val="auto"/>
        </w:rPr>
        <w:t xml:space="preserve"> and (B) the Termination Date is within the Change in Control Period, then the Company shall pay Employee the Accrued Benefits and any Prior Year Bonus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and does not revoke within any time provided by the Company to do so, the Release,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Times New Roman" w:cs="Times New Roman" w:eastAsia="Times New Roman" w:hAnsi="Times New Roman"/>
          <w:sz w:val="21"/>
          <w:szCs w:val="21"/>
          <w:u w:val="single" w:color="auto"/>
          <w:color w:val="auto"/>
        </w:rPr>
        <w:t>Section 8(f)(ii)</w:t>
      </w:r>
      <w:r>
        <w:rPr>
          <w:rFonts w:ascii="Times New Roman" w:cs="Times New Roman" w:eastAsia="Times New Roman" w:hAnsi="Times New Roman"/>
          <w:sz w:val="21"/>
          <w:szCs w:val="21"/>
          <w:color w:val="auto"/>
        </w:rPr>
        <w:t xml:space="preserve">; and (y) abides by the terms of each of </w:t>
      </w:r>
      <w:r>
        <w:rPr>
          <w:rFonts w:ascii="Times New Roman" w:cs="Times New Roman" w:eastAsia="Times New Roman" w:hAnsi="Times New Roman"/>
          <w:sz w:val="21"/>
          <w:szCs w:val="21"/>
          <w:u w:val="single" w:color="auto"/>
          <w:color w:val="auto"/>
        </w:rPr>
        <w:t>Sections 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w:t>
      </w:r>
      <w:r>
        <w:rPr>
          <w:rFonts w:ascii="Times New Roman" w:cs="Times New Roman" w:eastAsia="Times New Roman" w:hAnsi="Times New Roman"/>
          <w:sz w:val="21"/>
          <w:szCs w:val="21"/>
          <w:color w:val="auto"/>
        </w:rPr>
        <w:t xml:space="preserve"> then:</w:t>
      </w:r>
    </w:p>
    <w:p>
      <w:pPr>
        <w:spacing w:after="0" w:line="181" w:lineRule="exact"/>
        <w:rPr>
          <w:rFonts w:ascii="Times New Roman" w:cs="Times New Roman" w:eastAsia="Times New Roman" w:hAnsi="Times New Roman"/>
          <w:sz w:val="21"/>
          <w:szCs w:val="21"/>
          <w:color w:val="auto"/>
        </w:rPr>
      </w:pPr>
    </w:p>
    <w:p>
      <w:pPr>
        <w:jc w:val="both"/>
        <w:ind w:left="644" w:firstLine="1300"/>
        <w:spacing w:after="0" w:line="253" w:lineRule="auto"/>
        <w:tabs>
          <w:tab w:leader="none" w:pos="2483" w:val="left"/>
        </w:tabs>
        <w:numPr>
          <w:ilvl w:val="2"/>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make a lump sum payment to Employee equal to the product of two and ninety-nine hundredths (2.99) times the sum of (I) twelve (12) months’ of Employee’s Base Salary and (II) the target Annual Bonus, where each are determined as of the year in which such termination occurs, with such lump sum payable on the Company’s first regularly scheduled pay date that is on or after the date that is sixty (60) days after the Termination Date.</w:t>
      </w:r>
    </w:p>
    <w:p>
      <w:pPr>
        <w:spacing w:after="0" w:line="178" w:lineRule="exact"/>
        <w:rPr>
          <w:rFonts w:ascii="Times New Roman" w:cs="Times New Roman" w:eastAsia="Times New Roman" w:hAnsi="Times New Roman"/>
          <w:sz w:val="22"/>
          <w:szCs w:val="22"/>
          <w:color w:val="010000"/>
        </w:rPr>
      </w:pPr>
    </w:p>
    <w:p>
      <w:pPr>
        <w:jc w:val="both"/>
        <w:ind w:left="644" w:firstLine="1300"/>
        <w:spacing w:after="0" w:line="263" w:lineRule="auto"/>
        <w:tabs>
          <w:tab w:leader="none" w:pos="2498" w:val="left"/>
        </w:tabs>
        <w:numPr>
          <w:ilvl w:val="2"/>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pay to Employee the Prorated Target Bonus, payable in a lump sum on the Company’s first regularly scheduled pay date that is on or after the date that is sixty (60) days after the Termination Date.</w:t>
      </w:r>
    </w:p>
    <w:p>
      <w:pPr>
        <w:spacing w:after="0" w:line="167" w:lineRule="exact"/>
        <w:rPr>
          <w:rFonts w:ascii="Times New Roman" w:cs="Times New Roman" w:eastAsia="Times New Roman" w:hAnsi="Times New Roman"/>
          <w:sz w:val="22"/>
          <w:szCs w:val="22"/>
          <w:color w:val="010000"/>
        </w:rPr>
      </w:pPr>
    </w:p>
    <w:p>
      <w:pPr>
        <w:jc w:val="both"/>
        <w:ind w:left="644" w:firstLine="1300"/>
        <w:spacing w:after="0" w:line="265" w:lineRule="auto"/>
        <w:tabs>
          <w:tab w:leader="none" w:pos="2660" w:val="left"/>
        </w:tabs>
        <w:numPr>
          <w:ilvl w:val="2"/>
          <w:numId w:val="2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Employee shall be eligible for the COBRA Continuation, subject to the same terms, conditions and eligibility requirements set forth in </w:t>
      </w:r>
      <w:r>
        <w:rPr>
          <w:rFonts w:ascii="Times New Roman" w:cs="Times New Roman" w:eastAsia="Times New Roman" w:hAnsi="Times New Roman"/>
          <w:sz w:val="21"/>
          <w:szCs w:val="21"/>
          <w:u w:val="single" w:color="auto"/>
          <w:color w:val="auto"/>
        </w:rPr>
        <w:t>Section 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COBRA Continuation will be provided at a monthly rate that is no greater than the monthly premium payable by Employee for coverage under the Company’s group health plan covering Employee and Employee’s eligible dependents as of immediately prior to the Termination Date, with any cost in excess of such amount being paid or reimbursed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84"/>
          </w:cols>
          <w:pgMar w:left="976" w:top="1422" w:right="339" w:bottom="1440" w:gutter="0" w:footer="0" w:header="0"/>
        </w:sectPr>
      </w:pPr>
    </w:p>
    <w:bookmarkStart w:id="16" w:name="page17"/>
    <w:bookmarkEnd w:id="16"/>
    <w:p>
      <w:pPr>
        <w:ind w:left="660"/>
        <w:spacing w:after="0" w:line="295" w:lineRule="auto"/>
        <w:rPr>
          <w:sz w:val="20"/>
          <w:szCs w:val="20"/>
          <w:color w:val="auto"/>
        </w:rPr>
      </w:pPr>
      <w:r>
        <w:rPr>
          <w:rFonts w:ascii="Times New Roman" w:cs="Times New Roman" w:eastAsia="Times New Roman" w:hAnsi="Times New Roman"/>
          <w:sz w:val="21"/>
          <w:szCs w:val="21"/>
          <w:color w:val="auto"/>
        </w:rPr>
        <w:t>The payments and benefits described in clauses (A), (B), and (C) above are collectively referred to herein as the “</w:t>
      </w:r>
      <w:r>
        <w:rPr>
          <w:rFonts w:ascii="Times New Roman" w:cs="Times New Roman" w:eastAsia="Times New Roman" w:hAnsi="Times New Roman"/>
          <w:sz w:val="21"/>
          <w:szCs w:val="21"/>
          <w:u w:val="single" w:color="auto"/>
          <w:color w:val="auto"/>
        </w:rPr>
        <w:t>CIC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Termination Benefits</w:t>
      </w:r>
      <w:r>
        <w:rPr>
          <w:rFonts w:ascii="Times New Roman" w:cs="Times New Roman" w:eastAsia="Times New Roman" w:hAnsi="Times New Roman"/>
          <w:sz w:val="21"/>
          <w:szCs w:val="21"/>
          <w:color w:val="auto"/>
        </w:rPr>
        <w:t>” (and together with the Non-CIC Termination Benefits, as applicable, the “</w:t>
      </w:r>
      <w:r>
        <w:rPr>
          <w:rFonts w:ascii="Times New Roman" w:cs="Times New Roman" w:eastAsia="Times New Roman" w:hAnsi="Times New Roman"/>
          <w:sz w:val="21"/>
          <w:szCs w:val="21"/>
          <w:u w:val="single" w:color="auto"/>
          <w:color w:val="auto"/>
        </w:rPr>
        <w:t>Termination Benefits</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ind w:left="660" w:firstLine="1292"/>
        <w:spacing w:after="0" w:line="250" w:lineRule="auto"/>
        <w:tabs>
          <w:tab w:leader="none" w:pos="2496" w:val="left"/>
        </w:tabs>
        <w:numPr>
          <w:ilvl w:val="2"/>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Release is not executed and returned to the Company on or before the Release Expiration Date, and the required revocation period has not fully expired without revocation of the Release by Employee, then Employee shall not be entitled to any portion of the applicable Termination Benefits. As used herein, the “</w:t>
      </w:r>
      <w:r>
        <w:rPr>
          <w:rFonts w:ascii="Times New Roman" w:cs="Times New Roman" w:eastAsia="Times New Roman" w:hAnsi="Times New Roman"/>
          <w:sz w:val="22"/>
          <w:szCs w:val="22"/>
          <w:u w:val="single" w:color="auto"/>
          <w:color w:val="auto"/>
        </w:rPr>
        <w:t>Release Expiration Date</w:t>
      </w:r>
      <w:r>
        <w:rPr>
          <w:rFonts w:ascii="Times New Roman" w:cs="Times New Roman" w:eastAsia="Times New Roman" w:hAnsi="Times New Roman"/>
          <w:sz w:val="22"/>
          <w:szCs w:val="22"/>
          <w:color w:val="auto"/>
        </w:rPr>
        <w:t>” 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spacing w:after="0" w:line="186"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777" w:val="left"/>
        </w:tabs>
        <w:numPr>
          <w:ilvl w:val="1"/>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After-Acquired Evidence</w:t>
      </w:r>
      <w:r>
        <w:rPr>
          <w:rFonts w:ascii="Times New Roman" w:cs="Times New Roman" w:eastAsia="Times New Roman" w:hAnsi="Times New Roman"/>
          <w:sz w:val="22"/>
          <w:szCs w:val="22"/>
          <w:color w:val="auto"/>
        </w:rPr>
        <w:t xml:space="preserve">. Notwithstanding any provision of this Agreement to the contrary, in the event that the Company determines, in good faith, that Employee is eligible to receive Termination Benefits pursuant to </w:t>
      </w:r>
      <w:r>
        <w:rPr>
          <w:rFonts w:ascii="Times New Roman" w:cs="Times New Roman" w:eastAsia="Times New Roman" w:hAnsi="Times New Roman"/>
          <w:sz w:val="22"/>
          <w:szCs w:val="22"/>
          <w:u w:val="single" w:color="auto"/>
          <w:color w:val="auto"/>
        </w:rPr>
        <w:t>Section 8(f)</w:t>
      </w:r>
      <w:r>
        <w:rPr>
          <w:rFonts w:ascii="Times New Roman" w:cs="Times New Roman" w:eastAsia="Times New Roman" w:hAnsi="Times New Roman"/>
          <w:sz w:val="22"/>
          <w:szCs w:val="22"/>
          <w:color w:val="auto"/>
        </w:rPr>
        <w:t xml:space="preserve"> but, after such determination, the Company subsequently acquires evidence or determines that: (i) Employee has failed to abide by the terms of </w:t>
      </w:r>
      <w:r>
        <w:rPr>
          <w:rFonts w:ascii="Times New Roman" w:cs="Times New Roman" w:eastAsia="Times New Roman" w:hAnsi="Times New Roman"/>
          <w:sz w:val="22"/>
          <w:szCs w:val="22"/>
          <w:u w:val="single" w:color="auto"/>
          <w:color w:val="auto"/>
        </w:rPr>
        <w:t>Sections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or 11; or (ii) a Cause condition existed prior to the Termination Date that, had the Company been fully aware of such condition, would have given the Company the right to terminate Employee’s employment pursuant to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Times New Roman" w:cs="Times New Roman" w:eastAsia="Times New Roman" w:hAnsi="Times New Roman"/>
          <w:sz w:val="22"/>
          <w:szCs w:val="22"/>
          <w:u w:val="single" w:color="auto"/>
          <w:color w:val="auto"/>
        </w:rPr>
        <w:t>Section 8(g)</w:t>
      </w:r>
      <w:r>
        <w:rPr>
          <w:rFonts w:ascii="Times New Roman" w:cs="Times New Roman" w:eastAsia="Times New Roman" w:hAnsi="Times New Roman"/>
          <w:sz w:val="22"/>
          <w:szCs w:val="22"/>
          <w:color w:val="auto"/>
        </w:rPr>
        <w:t xml:space="preserve"> have been satisfied. In addition, the provisions of the last sentence of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shall apply, and, subject to any limitation under applicable law, previously paid compensation pursuant to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3(c)</w:t>
      </w:r>
      <w:r>
        <w:rPr>
          <w:rFonts w:ascii="Times New Roman" w:cs="Times New Roman" w:eastAsia="Times New Roman" w:hAnsi="Times New Roman"/>
          <w:sz w:val="22"/>
          <w:szCs w:val="22"/>
          <w:color w:val="auto"/>
        </w:rPr>
        <w:t xml:space="preserve"> shall be subject to clawback or forfeiture and cancellation at the discretion of the Compensation Committee in the event Employee fails to abide by the terms of </w:t>
      </w:r>
      <w:r>
        <w:rPr>
          <w:rFonts w:ascii="Times New Roman" w:cs="Times New Roman" w:eastAsia="Times New Roman" w:hAnsi="Times New Roman"/>
          <w:sz w:val="22"/>
          <w:szCs w:val="22"/>
          <w:u w:val="single" w:color="auto"/>
          <w:color w:val="auto"/>
        </w:rPr>
        <w:t>Sections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010000"/>
        </w:rPr>
      </w:pPr>
    </w:p>
    <w:p>
      <w:pPr>
        <w:jc w:val="both"/>
        <w:ind w:firstLine="656"/>
        <w:spacing w:after="0" w:line="252" w:lineRule="auto"/>
        <w:tabs>
          <w:tab w:leader="none" w:pos="1053" w:val="left"/>
        </w:tabs>
        <w:numPr>
          <w:ilvl w:val="0"/>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Disclosures</w:t>
      </w:r>
      <w:r>
        <w:rPr>
          <w:rFonts w:ascii="Times New Roman" w:cs="Times New Roman" w:eastAsia="Times New Roman" w:hAnsi="Times New Roman"/>
          <w:sz w:val="22"/>
          <w:szCs w:val="22"/>
          <w:color w:val="auto"/>
        </w:rPr>
        <w:t>. Promptly (and in any event, within three (3) Business Days) upon becoming aware of (a) any actual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Times New Roman" w:cs="Times New Roman" w:eastAsia="Times New Roman" w:hAnsi="Times New Roman"/>
          <w:sz w:val="22"/>
          <w:szCs w:val="22"/>
          <w:u w:val="single" w:color="auto"/>
          <w:color w:val="auto"/>
        </w:rPr>
        <w:t>Conflict of Interest</w:t>
      </w:r>
      <w:r>
        <w:rPr>
          <w:rFonts w:ascii="Times New Roman" w:cs="Times New Roman" w:eastAsia="Times New Roman" w:hAnsi="Times New Roman"/>
          <w:sz w:val="22"/>
          <w:szCs w:val="22"/>
          <w:color w:val="auto"/>
        </w:rPr>
        <w:t>” shall exist when Employee engages in, or plans to engage in, any activities, associations, or interests that conflict with, or create an appearance of a conflict with, Employee’s duties, responsibilities, authorities, or obligations for or to any member of the Company Group.</w:t>
      </w:r>
    </w:p>
    <w:p>
      <w:pPr>
        <w:spacing w:after="0" w:line="174" w:lineRule="exact"/>
        <w:rPr>
          <w:rFonts w:ascii="Times New Roman" w:cs="Times New Roman" w:eastAsia="Times New Roman" w:hAnsi="Times New Roman"/>
          <w:sz w:val="22"/>
          <w:szCs w:val="22"/>
          <w:color w:val="010000"/>
        </w:rPr>
      </w:pPr>
    </w:p>
    <w:p>
      <w:pPr>
        <w:jc w:val="both"/>
        <w:ind w:firstLine="656"/>
        <w:spacing w:after="0" w:line="258" w:lineRule="auto"/>
        <w:tabs>
          <w:tab w:leader="none" w:pos="1188" w:val="left"/>
        </w:tabs>
        <w:numPr>
          <w:ilvl w:val="0"/>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In the course of Employee’s employment with the Company and the performance of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duties on behalf of the Company Group hereunder, Employee will be provided with, and will have access to, Confidential Information (as defined below). As a condition of Employee’s receipt and access to such Confidential Information and in exchange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7" w:name="page18"/>
    <w:bookmarkEnd w:id="17"/>
    <w:p>
      <w:pPr>
        <w:spacing w:after="0" w:line="271" w:lineRule="auto"/>
        <w:rPr>
          <w:sz w:val="20"/>
          <w:szCs w:val="20"/>
          <w:color w:val="auto"/>
        </w:rPr>
      </w:pPr>
      <w:r>
        <w:rPr>
          <w:rFonts w:ascii="Times New Roman" w:cs="Times New Roman" w:eastAsia="Times New Roman" w:hAnsi="Times New Roman"/>
          <w:sz w:val="22"/>
          <w:szCs w:val="22"/>
          <w:color w:val="auto"/>
        </w:rPr>
        <w:t xml:space="preserve">other valuable consideration provided hereunder, and as a condition of Employee’s employment hereunder, Employee shall comply with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304"/>
        <w:spacing w:after="0" w:line="250" w:lineRule="auto"/>
        <w:tabs>
          <w:tab w:leader="none" w:pos="1752"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both during the Employment Period and thereafter, except as expressly permitted by this Agreement or by directive of the Board, for the benefit of the Company Group, or while acting in the course and scope of his employment, Employee shall not disclose any Confidential Information to any person or entity and shall not use any Confidential Information. Employee shall follow all Company policies and protocols regarding the security of all documents and other materials containing Confidential Information to the extent such policies have been clearly communicated in writing or made available to Employee (regardless of the medium on which Confidential Information is stored). The covenants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10(a)</w:t>
      </w:r>
      <w:r>
        <w:rPr>
          <w:rFonts w:ascii="Times New Roman" w:cs="Times New Roman" w:eastAsia="Times New Roman" w:hAnsi="Times New Roman"/>
          <w:sz w:val="22"/>
          <w:szCs w:val="22"/>
          <w:color w:val="auto"/>
        </w:rPr>
        <w:t xml:space="preserve"> shall apply to all Confidential Information, whether now known or later to become known to Employee during the period that Employee is employed by or affiliated with or providing services to the Company or any other member of the Company Group.</w:t>
      </w:r>
    </w:p>
    <w:p>
      <w:pPr>
        <w:spacing w:after="0" w:line="179" w:lineRule="exact"/>
        <w:rPr>
          <w:rFonts w:ascii="Times New Roman" w:cs="Times New Roman" w:eastAsia="Times New Roman" w:hAnsi="Times New Roman"/>
          <w:sz w:val="22"/>
          <w:szCs w:val="22"/>
          <w:color w:val="010000"/>
        </w:rPr>
      </w:pPr>
    </w:p>
    <w:p>
      <w:pPr>
        <w:ind w:right="20" w:firstLine="1304"/>
        <w:spacing w:after="0" w:line="271" w:lineRule="auto"/>
        <w:tabs>
          <w:tab w:leader="none" w:pos="1966"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 provision of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to the contrary, Employee may make the following disclosures and uses of Confidential Information:</w:t>
      </w:r>
    </w:p>
    <w:p>
      <w:pPr>
        <w:spacing w:after="0" w:line="157" w:lineRule="exact"/>
        <w:rPr>
          <w:rFonts w:ascii="Times New Roman" w:cs="Times New Roman" w:eastAsia="Times New Roman" w:hAnsi="Times New Roman"/>
          <w:sz w:val="22"/>
          <w:szCs w:val="22"/>
          <w:color w:val="010000"/>
        </w:rPr>
      </w:pPr>
    </w:p>
    <w:p>
      <w:pPr>
        <w:ind w:left="660" w:firstLine="1292"/>
        <w:spacing w:after="0" w:line="284" w:lineRule="auto"/>
        <w:tabs>
          <w:tab w:leader="none" w:pos="2457" w:val="left"/>
        </w:tabs>
        <w:numPr>
          <w:ilvl w:val="1"/>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to other employees of a member of the Company Group who have a need to know the information in connection with the businesses of the Company Group;</w:t>
      </w:r>
    </w:p>
    <w:p>
      <w:pPr>
        <w:spacing w:after="0" w:line="143"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638" w:val="left"/>
        </w:tabs>
        <w:numPr>
          <w:ilvl w:val="1"/>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to third parties when, in the reasonable and good faith belief of Employee, such disclosure is in connection with Employee’s performance of Employee’s duties under this Agreement and in the best interest of the Company Group;</w:t>
      </w:r>
    </w:p>
    <w:p>
      <w:pPr>
        <w:spacing w:after="0" w:line="172" w:lineRule="exact"/>
        <w:rPr>
          <w:rFonts w:ascii="Times New Roman" w:cs="Times New Roman" w:eastAsia="Times New Roman" w:hAnsi="Times New Roman"/>
          <w:sz w:val="22"/>
          <w:szCs w:val="22"/>
          <w:color w:val="010000"/>
        </w:rPr>
      </w:pPr>
    </w:p>
    <w:p>
      <w:pPr>
        <w:ind w:left="2500" w:hanging="548"/>
        <w:spacing w:after="0"/>
        <w:tabs>
          <w:tab w:leader="none" w:pos="2500" w:val="left"/>
        </w:tabs>
        <w:numPr>
          <w:ilvl w:val="1"/>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and uses that are approved in writing by the Board; or</w:t>
      </w:r>
    </w:p>
    <w:p>
      <w:pPr>
        <w:spacing w:after="0" w:line="233"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538" w:val="left"/>
        </w:tabs>
        <w:numPr>
          <w:ilvl w:val="1"/>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to a person or entity that has (x) been retained by a member of the Company Group to provide services to one or more members of the Company Group and (y) agreed in writing to abide by the terms of a confidentiality agreement.</w:t>
      </w:r>
    </w:p>
    <w:p>
      <w:pPr>
        <w:spacing w:after="0" w:line="172"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914"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spacing w:after="0" w:line="180" w:lineRule="exact"/>
        <w:rPr>
          <w:rFonts w:ascii="Times New Roman" w:cs="Times New Roman" w:eastAsia="Times New Roman" w:hAnsi="Times New Roman"/>
          <w:sz w:val="22"/>
          <w:szCs w:val="22"/>
          <w:color w:val="010000"/>
        </w:rPr>
      </w:pPr>
    </w:p>
    <w:p>
      <w:pPr>
        <w:ind w:firstLine="1304"/>
        <w:spacing w:after="0" w:line="284" w:lineRule="auto"/>
        <w:tabs>
          <w:tab w:leader="none" w:pos="1858"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trade secrets, non-public information, designs, ideas, concepts, improvements, product developments, discoveries and inventions, whether patentable or not,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8" w:name="page19"/>
    <w:bookmarkEnd w:id="18"/>
    <w:p>
      <w:pPr>
        <w:jc w:val="both"/>
        <w:spacing w:after="0" w:line="259" w:lineRule="auto"/>
        <w:rPr>
          <w:sz w:val="20"/>
          <w:szCs w:val="20"/>
          <w:color w:val="auto"/>
        </w:rPr>
      </w:pPr>
      <w:r>
        <w:rPr>
          <w:rFonts w:ascii="Times New Roman" w:cs="Times New Roman" w:eastAsia="Times New Roman" w:hAnsi="Times New Roman"/>
          <w:sz w:val="21"/>
          <w:szCs w:val="21"/>
          <w:color w:val="auto"/>
        </w:rPr>
        <w:t>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such source is not bound by a confidentiality agreement with, or other obligation with respect to confidentiality to, a member of the Company Group.</w:t>
      </w:r>
    </w:p>
    <w:p>
      <w:pPr>
        <w:spacing w:after="0" w:line="192" w:lineRule="exact"/>
        <w:rPr>
          <w:sz w:val="20"/>
          <w:szCs w:val="20"/>
          <w:color w:val="auto"/>
        </w:rPr>
      </w:pPr>
    </w:p>
    <w:p>
      <w:pPr>
        <w:ind w:left="1780" w:hanging="476"/>
        <w:spacing w:after="0"/>
        <w:tabs>
          <w:tab w:leader="none" w:pos="1780" w:val="left"/>
        </w:tabs>
        <w:numPr>
          <w:ilvl w:val="1"/>
          <w:numId w:val="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the foregoing, nothing in this Agreement shall prohibit or restrict Employee from lawfully:</w:t>
      </w:r>
    </w:p>
    <w:p>
      <w:pPr>
        <w:spacing w:after="0" w:line="39" w:lineRule="exact"/>
        <w:rPr>
          <w:rFonts w:ascii="Times New Roman" w:cs="Times New Roman" w:eastAsia="Times New Roman" w:hAnsi="Times New Roman"/>
          <w:sz w:val="21"/>
          <w:szCs w:val="21"/>
          <w:color w:val="010000"/>
        </w:rPr>
      </w:pPr>
    </w:p>
    <w:p>
      <w:pPr>
        <w:jc w:val="both"/>
        <w:ind w:firstLine="8"/>
        <w:spacing w:after="0" w:line="254" w:lineRule="auto"/>
        <w:tabs>
          <w:tab w:leader="none" w:pos="26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initiating communications directly with, cooperating with, providing information to, causing information to be provided to, or otherwise assisting in an investigation by, any governmental or regulatory agency, entity, official or authority regarding a possible violation of any law; (ii) responding to any inquiry or legal process directed to Employee from any such governmental authority;</w:t>
      </w:r>
    </w:p>
    <w:p>
      <w:pPr>
        <w:spacing w:after="0" w:line="2" w:lineRule="exact"/>
        <w:rPr>
          <w:rFonts w:ascii="Times New Roman" w:cs="Times New Roman" w:eastAsia="Times New Roman" w:hAnsi="Times New Roman"/>
          <w:sz w:val="21"/>
          <w:szCs w:val="21"/>
          <w:color w:val="auto"/>
        </w:rPr>
      </w:pPr>
    </w:p>
    <w:p>
      <w:pPr>
        <w:jc w:val="both"/>
        <w:ind w:firstLine="8"/>
        <w:spacing w:after="0" w:line="257" w:lineRule="auto"/>
        <w:tabs>
          <w:tab w:leader="none" w:pos="391"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testifying, participating or otherwise assisting in any action or proceeding by any such governmental authority relating to a possible violation of law; or (iv) making any other disclosures that are protected under the whistleblower provisions of any applicable law. Nothing in this Agreement shall be interpreted to prohibit or restrict Employee to disclose an act of sexual abuse or facts related to an act of sexual abuse. Additionally, pursuant to the federal Defend Trade Secrets Act of 2016, an individual shall not be held criminally or civilly liable under any federal or state trade secret law for the disclosure of a trade secret that:</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is made (1) in confidence to a federal, state or local government official, either directly or indirectly, or to an attorney and</w:t>
      </w:r>
    </w:p>
    <w:p>
      <w:pPr>
        <w:spacing w:after="0" w:line="3" w:lineRule="exact"/>
        <w:rPr>
          <w:rFonts w:ascii="Times New Roman" w:cs="Times New Roman" w:eastAsia="Times New Roman" w:hAnsi="Times New Roman"/>
          <w:sz w:val="21"/>
          <w:szCs w:val="21"/>
          <w:color w:val="auto"/>
        </w:rPr>
      </w:pPr>
    </w:p>
    <w:p>
      <w:pPr>
        <w:jc w:val="both"/>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1"/>
          <w:szCs w:val="21"/>
          <w:color w:val="auto"/>
        </w:rPr>
        <w:t>engaging in any conduct described in this paragraph, or to notify the Company that Employee has engaged in any such conduct.</w:t>
      </w:r>
    </w:p>
    <w:p>
      <w:pPr>
        <w:spacing w:after="0" w:line="227" w:lineRule="exact"/>
        <w:rPr>
          <w:sz w:val="20"/>
          <w:szCs w:val="20"/>
          <w:color w:val="auto"/>
        </w:rPr>
      </w:pPr>
    </w:p>
    <w:p>
      <w:pPr>
        <w:jc w:val="both"/>
        <w:ind w:firstLine="656"/>
        <w:spacing w:after="0" w:line="263" w:lineRule="auto"/>
        <w:tabs>
          <w:tab w:leader="none" w:pos="1234" w:val="left"/>
        </w:tabs>
        <w:numPr>
          <w:ilvl w:val="1"/>
          <w:numId w:val="3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Non-Competition; Non-Solicitation</w:t>
      </w:r>
      <w:r>
        <w:rPr>
          <w:rFonts w:ascii="Times New Roman" w:cs="Times New Roman" w:eastAsia="Times New Roman" w:hAnsi="Times New Roman"/>
          <w:sz w:val="21"/>
          <w:szCs w:val="21"/>
          <w:color w:val="auto"/>
        </w:rPr>
        <w:t>. Employee acknowledges that (i) Employee performs services of a unique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nature for the Company Group that are irreplaceable, and that Employee’s performance of such services to a competing business will result in irreparable harm to the Company Group, (ii) Employee has had and will continue to have access to Confidential Information which, if disclosed, would unfairly and inappropriately assist in competition against the Company Group, (iii) in the course of Employee’s employment by a competitor, Employee would inevitably use or disclose such Confidential Information,</w:t>
      </w:r>
    </w:p>
    <w:p>
      <w:pPr>
        <w:jc w:val="both"/>
        <w:ind w:firstLine="8"/>
        <w:spacing w:after="0" w:line="247" w:lineRule="auto"/>
        <w:tabs>
          <w:tab w:leader="none" w:pos="39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has substantial relationships with their Customers and Employee has had and will continue to have access to these Customers, (v) Employee has received and will receive specialized training from the Company Group, and (vi) Employee has generated and will continue to generate goodwill for the Company Group in the course of Employee’s employment. Accordingly, Employee agrees that for the duration of Employee’s employment and for one (1) year thereafter, Employee shall not, directly or indirectly:</w:t>
      </w:r>
    </w:p>
    <w:p>
      <w:pPr>
        <w:spacing w:after="0" w:line="18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65" w:val="left"/>
        </w:tabs>
        <w:numPr>
          <w:ilvl w:val="2"/>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own, manage, operate, control, be employed by (whether as an employee, consultant, independent contractor or otherwise, and whether or not for compensation) or render services to any person, firm, corporation or other entity, in whatever form, engaged in competition with the Company Group on the Termination Date, which includes the business of merchant power production, including nuclear power generation, or any business material to the Company Group which the Company Group has taken substantial steps to engage in on or prior to such date in the Pennsylvania-New Jersey-Maryland Interconnection region (as determined by the Federal Energy Regulatory Commission), Montana or any other geographic region in the United States where the Company Group conducts or has taken substantial steps to conduct business prior to the Termination Date and in which Employee had material responsibilities or made actual contact (whether in person, virtual, or by email, text, or phone) between Employee and a customer or prospective customer with whom Employee dealt on behalf of the Company Group or whose dealings with the Company Group were coordinated or supervised by Employee, or who received any product or service from the Company Group that resulted in payment of compensation to Employee, or about whom Employee obtained Confidential Information as a result of Employee’s employment with or service to the Company Group. Notwithstanding the foregoing, nothing herein shall prohibit Employee from being a passive owner of not more than three percent (3%) of the equity securities of a publicly traded corporation engaged in a business that is in competition with the Company Group, so long as Employee has no active participation in the business of such corporation. Nothing in this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shall prohibit Employee from being employed or engaged by any Person where such work would not involve any level of strategic, advisory, technical, creative, sales, or other activity similar to that which Employee provided to the Company Group (acknowledging that Employee’s role requires Employee to engage in strategic, managerial, and business development activity), or is in connection with an independent business line of such Person that is wholly unrelated to the business of the Company Group and Confidential Information (subject to protocols to prevent Employee from disclosing Confidential Information). In addition, the provisions of this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shall not be violated by Employee commencing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20" w:name="page21"/>
    <w:bookmarkEnd w:id="20"/>
    <w:p>
      <w:pPr>
        <w:ind w:right="20"/>
        <w:spacing w:after="0" w:line="271" w:lineRule="auto"/>
        <w:rPr>
          <w:sz w:val="20"/>
          <w:szCs w:val="20"/>
          <w:color w:val="auto"/>
        </w:rPr>
      </w:pPr>
      <w:r>
        <w:rPr>
          <w:rFonts w:ascii="Times New Roman" w:cs="Times New Roman" w:eastAsia="Times New Roman" w:hAnsi="Times New Roman"/>
          <w:sz w:val="22"/>
          <w:szCs w:val="22"/>
          <w:color w:val="auto"/>
        </w:rPr>
        <w:t>with a subsidiary, division or unit of any entity that engages in a business in competition with the Company Group so long as Employee and such subsidiary, division or unit does not engage in a business in competition with the Company Group.</w:t>
      </w:r>
    </w:p>
    <w:p>
      <w:pPr>
        <w:spacing w:after="0" w:line="158" w:lineRule="exact"/>
        <w:rPr>
          <w:sz w:val="20"/>
          <w:szCs w:val="20"/>
          <w:color w:val="auto"/>
        </w:rPr>
      </w:pPr>
    </w:p>
    <w:p>
      <w:pPr>
        <w:jc w:val="both"/>
        <w:ind w:firstLine="1304"/>
        <w:spacing w:after="0" w:line="248" w:lineRule="auto"/>
        <w:tabs>
          <w:tab w:leader="none" w:pos="1804"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solicit, induce or attempt to induce any person who was, as of the Termination Date, an employee, agent or individual retained as an independent contractor of the Company or any member of the Company Group and with whom Employee had contact during the Employee’s employment with or service to the Company Group or who otherwise worked in the same department as the Employee (“</w:t>
      </w:r>
      <w:r>
        <w:rPr>
          <w:rFonts w:ascii="Times New Roman" w:cs="Times New Roman" w:eastAsia="Times New Roman" w:hAnsi="Times New Roman"/>
          <w:sz w:val="22"/>
          <w:szCs w:val="22"/>
          <w:u w:val="single" w:color="auto"/>
          <w:color w:val="auto"/>
        </w:rPr>
        <w:t>Covered Individuals</w:t>
      </w:r>
      <w:r>
        <w:rPr>
          <w:rFonts w:ascii="Times New Roman" w:cs="Times New Roman" w:eastAsia="Times New Roman" w:hAnsi="Times New Roman"/>
          <w:sz w:val="22"/>
          <w:szCs w:val="22"/>
          <w:color w:val="auto"/>
        </w:rPr>
        <w:t xml:space="preserve">”), to terminate his or her employment or contracting relationship with the Company Group, or to become an employee or independent contractor of any other Person or hire or retain any such employee, agent or individual, or take any action to materially assist or aid any other Person in identifying, hiring or soliciting any such employee, agent or individual (any employee, agent or individual retained as an independent contractor of the Company Group shall be deemed covered by this </w:t>
      </w:r>
      <w:r>
        <w:rPr>
          <w:rFonts w:ascii="Times New Roman" w:cs="Times New Roman" w:eastAsia="Times New Roman" w:hAnsi="Times New Roman"/>
          <w:sz w:val="22"/>
          <w:szCs w:val="22"/>
          <w:u w:val="single" w:color="auto"/>
          <w:color w:val="auto"/>
        </w:rPr>
        <w:t>Section 11(b)</w:t>
      </w:r>
      <w:r>
        <w:rPr>
          <w:rFonts w:ascii="Times New Roman" w:cs="Times New Roman" w:eastAsia="Times New Roman" w:hAnsi="Times New Roman"/>
          <w:sz w:val="22"/>
          <w:szCs w:val="22"/>
          <w:color w:val="auto"/>
        </w:rPr>
        <w:t xml:space="preserve"> while so employed or retained and for a period of six (6) months thereafter); notwithstanding anything to the contrary in this Agreement, general employment solicitations through advertisements for candidates in publicly available media for potential employment do not violate this provision; so long as such advertisements are not specifically targeted at any Covered Individuals;</w:t>
      </w:r>
    </w:p>
    <w:p>
      <w:pPr>
        <w:spacing w:after="0" w:line="188"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887"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solicit, induce or attempt to induce any Customer (as defined below) or any supplier or other business relation of the Company Group who was working with any member of the Company Group as of the Termination Date, to cease doing or reduce the amount of its business with such entity or in any way interfere with the relationship between any such Customer, supplier or other business relation and the Company Group; or</w:t>
      </w:r>
    </w:p>
    <w:p>
      <w:pPr>
        <w:spacing w:after="0" w:line="176" w:lineRule="exact"/>
        <w:rPr>
          <w:rFonts w:ascii="Times New Roman" w:cs="Times New Roman" w:eastAsia="Times New Roman" w:hAnsi="Times New Roman"/>
          <w:sz w:val="22"/>
          <w:szCs w:val="22"/>
          <w:color w:val="010000"/>
        </w:rPr>
      </w:pPr>
    </w:p>
    <w:p>
      <w:pPr>
        <w:ind w:firstLine="1304"/>
        <w:spacing w:after="0" w:line="271" w:lineRule="auto"/>
        <w:tabs>
          <w:tab w:leader="none" w:pos="1926"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interfere, or aid or induce any other person or entity in interfering, with the relationship between the Company Group and any of their respective vendors, joint venturers or licensors.</w:t>
      </w:r>
    </w:p>
    <w:p>
      <w:pPr>
        <w:spacing w:after="0" w:line="171" w:lineRule="exact"/>
        <w:rPr>
          <w:rFonts w:ascii="Times New Roman" w:cs="Times New Roman" w:eastAsia="Times New Roman" w:hAnsi="Times New Roman"/>
          <w:sz w:val="22"/>
          <w:szCs w:val="22"/>
          <w:color w:val="010000"/>
        </w:rPr>
      </w:pPr>
    </w:p>
    <w:p>
      <w:pPr>
        <w:ind w:left="1760" w:hanging="456"/>
        <w:spacing w:after="0"/>
        <w:tabs>
          <w:tab w:leader="none" w:pos="1760"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For the purposes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the following definitions shall apply:</w:t>
      </w:r>
    </w:p>
    <w:p>
      <w:pPr>
        <w:spacing w:after="0" w:line="219" w:lineRule="exact"/>
        <w:rPr>
          <w:rFonts w:ascii="Times New Roman" w:cs="Times New Roman" w:eastAsia="Times New Roman" w:hAnsi="Times New Roman"/>
          <w:sz w:val="22"/>
          <w:szCs w:val="22"/>
          <w:color w:val="010000"/>
        </w:rPr>
      </w:pPr>
    </w:p>
    <w:p>
      <w:pPr>
        <w:jc w:val="both"/>
        <w:ind w:left="660" w:firstLine="1292"/>
        <w:spacing w:after="0" w:line="250" w:lineRule="auto"/>
        <w:tabs>
          <w:tab w:leader="none" w:pos="2416" w:val="left"/>
        </w:tabs>
        <w:numPr>
          <w:ilvl w:val="1"/>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Customer</w:t>
      </w:r>
      <w:r>
        <w:rPr>
          <w:rFonts w:ascii="Times New Roman" w:cs="Times New Roman" w:eastAsia="Times New Roman" w:hAnsi="Times New Roman"/>
          <w:sz w:val="22"/>
          <w:szCs w:val="22"/>
          <w:color w:val="auto"/>
        </w:rPr>
        <w:t>” means any Person who or which: (a) purchased products or services from the Company Group prior to or during Employee’s period of employment and who or which Employee was aware of or about whom or which Employee had received Confidential Information; or (b) was called upon or solicited by the Company or any member of the Company Group or any of their predecessors prior to or during the twelve (12) month period prior to the Termination Date, if Employee had direct or indirect contact with such Person as an employee or service provider of the Company Group or learned or became aware of such Person during Employee’s employment with or service to the Company Group.</w:t>
      </w:r>
    </w:p>
    <w:p>
      <w:pPr>
        <w:spacing w:after="0" w:line="180" w:lineRule="exact"/>
        <w:rPr>
          <w:rFonts w:ascii="Times New Roman" w:cs="Times New Roman" w:eastAsia="Times New Roman" w:hAnsi="Times New Roman"/>
          <w:sz w:val="22"/>
          <w:szCs w:val="22"/>
          <w:color w:val="010000"/>
        </w:rPr>
      </w:pPr>
    </w:p>
    <w:p>
      <w:pPr>
        <w:ind w:left="660" w:firstLine="1292"/>
        <w:spacing w:after="0" w:line="271" w:lineRule="auto"/>
        <w:tabs>
          <w:tab w:leader="none" w:pos="2679" w:val="left"/>
        </w:tabs>
        <w:numPr>
          <w:ilvl w:val="1"/>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partnership, a limited liability company, a corporation, an association, a joint stock company, a trust, a joint venture,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22"/>
          <w:szCs w:val="22"/>
          <w:color w:val="auto"/>
        </w:rPr>
        <w:t>unincorporated organization and a governmental entity or any department, agency or political subdivision thereof.</w:t>
      </w:r>
    </w:p>
    <w:p>
      <w:pPr>
        <w:spacing w:after="0" w:line="216" w:lineRule="exact"/>
        <w:rPr>
          <w:sz w:val="20"/>
          <w:szCs w:val="20"/>
          <w:color w:val="auto"/>
        </w:rPr>
      </w:pPr>
    </w:p>
    <w:p>
      <w:pPr>
        <w:ind w:left="1140" w:hanging="484"/>
        <w:spacing w:after="0"/>
        <w:tabs>
          <w:tab w:leader="none" w:pos="1140" w:val="left"/>
        </w:tabs>
        <w:numPr>
          <w:ilvl w:val="1"/>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Ownership of Intellectual Property</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62" w:lineRule="auto"/>
        <w:tabs>
          <w:tab w:leader="none" w:pos="1806" w:val="left"/>
        </w:tabs>
        <w:numPr>
          <w:ilvl w:val="2"/>
          <w:numId w:val="3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w:t>
      </w:r>
    </w:p>
    <w:p>
      <w:pPr>
        <w:spacing w:after="0" w:line="1" w:lineRule="exact"/>
        <w:rPr>
          <w:rFonts w:ascii="Times New Roman" w:cs="Times New Roman" w:eastAsia="Times New Roman" w:hAnsi="Times New Roman"/>
          <w:sz w:val="21"/>
          <w:szCs w:val="21"/>
          <w:color w:val="010000"/>
        </w:rPr>
      </w:pPr>
    </w:p>
    <w:p>
      <w:pPr>
        <w:jc w:val="both"/>
        <w:ind w:firstLine="8"/>
        <w:spacing w:after="0" w:line="258" w:lineRule="auto"/>
        <w:tabs>
          <w:tab w:leader="none" w:pos="274"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Times New Roman" w:cs="Times New Roman" w:eastAsia="Times New Roman" w:hAnsi="Times New Roman"/>
          <w:sz w:val="21"/>
          <w:szCs w:val="21"/>
          <w:u w:val="single" w:color="auto"/>
          <w:color w:val="auto"/>
        </w:rPr>
        <w:t>Company Intellectual Property</w:t>
      </w:r>
      <w:r>
        <w:rPr>
          <w:rFonts w:ascii="Times New Roman" w:cs="Times New Roman" w:eastAsia="Times New Roman" w:hAnsi="Times New Roman"/>
          <w:sz w:val="21"/>
          <w:szCs w:val="21"/>
          <w:color w:val="auto"/>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spacing w:after="0" w:line="177" w:lineRule="exact"/>
        <w:rPr>
          <w:rFonts w:ascii="Times New Roman" w:cs="Times New Roman" w:eastAsia="Times New Roman" w:hAnsi="Times New Roman"/>
          <w:sz w:val="21"/>
          <w:szCs w:val="21"/>
          <w:color w:val="auto"/>
        </w:rPr>
      </w:pPr>
    </w:p>
    <w:p>
      <w:pPr>
        <w:jc w:val="both"/>
        <w:ind w:firstLine="1304"/>
        <w:spacing w:after="0" w:line="252" w:lineRule="auto"/>
        <w:tabs>
          <w:tab w:leader="none" w:pos="1939" w:val="left"/>
        </w:tabs>
        <w:numPr>
          <w:ilvl w:val="2"/>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spacing w:after="0" w:line="179"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60" w:val="left"/>
        </w:tabs>
        <w:numPr>
          <w:ilvl w:val="2"/>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22" w:name="page23"/>
    <w:bookmarkEnd w:id="22"/>
    <w:p>
      <w:pPr>
        <w:jc w:val="both"/>
        <w:ind w:firstLine="1304"/>
        <w:spacing w:after="0" w:line="250" w:lineRule="auto"/>
        <w:tabs>
          <w:tab w:leader="none" w:pos="1777"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allowed by law, this Section applies to all rights that may be known as or referred to as “moral rights,” “artist’s rights,” “droit moral,” or the like, including without limitation those rights set forth in 17 U.S.C. §106A (collectively, “</w:t>
      </w:r>
      <w:r>
        <w:rPr>
          <w:rFonts w:ascii="Times New Roman" w:cs="Times New Roman" w:eastAsia="Times New Roman" w:hAnsi="Times New Roman"/>
          <w:sz w:val="22"/>
          <w:szCs w:val="22"/>
          <w:u w:val="single" w:color="auto"/>
          <w:color w:val="auto"/>
        </w:rPr>
        <w:t>Moral Rights</w:t>
      </w:r>
      <w:r>
        <w:rPr>
          <w:rFonts w:ascii="Times New Roman" w:cs="Times New Roman" w:eastAsia="Times New Roman" w:hAnsi="Times New Roman"/>
          <w:sz w:val="22"/>
          <w:szCs w:val="22"/>
          <w:color w:val="auto"/>
        </w:rPr>
        <w:t>”). To 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spacing w:after="0" w:line="180"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806"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hereby represents and warrants that there are no inventions (whether or not patentable), original works of authorship, designs, know-how, mask works, ideas, information, developments, improvements, or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Times New Roman" w:cs="Times New Roman" w:eastAsia="Times New Roman" w:hAnsi="Times New Roman"/>
          <w:sz w:val="22"/>
          <w:szCs w:val="22"/>
          <w:u w:val="single" w:color="auto"/>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spacing w:after="0" w:line="197"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836"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spacing w:after="0" w:line="185"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831"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that after reasonable and diligent effort to communicate with Employee, the Company (or, as applicable, a member of the Company Group) is unable to secure Employee’s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23" w:name="page24"/>
    <w:bookmarkEnd w:id="23"/>
    <w:p>
      <w:pPr>
        <w:jc w:val="both"/>
        <w:spacing w:after="0" w:line="249" w:lineRule="auto"/>
        <w:rPr>
          <w:sz w:val="20"/>
          <w:szCs w:val="20"/>
          <w:color w:val="auto"/>
        </w:rPr>
      </w:pPr>
      <w:r>
        <w:rPr>
          <w:rFonts w:ascii="Times New Roman" w:cs="Times New Roman" w:eastAsia="Times New Roman" w:hAnsi="Times New Roman"/>
          <w:sz w:val="22"/>
          <w:szCs w:val="22"/>
          <w:color w:val="auto"/>
        </w:rPr>
        <w:t>renewals, extensions, continuations, divisionals, continuations in part, continuing patent applications, reissues, and reexaminations of such Company Intellectual Property), Employee hereby irrevocably designates and appoints the Company and each of the Company’s duly 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Employee.</w:t>
      </w:r>
    </w:p>
    <w:p>
      <w:pPr>
        <w:spacing w:after="0" w:line="195" w:lineRule="exact"/>
        <w:rPr>
          <w:sz w:val="20"/>
          <w:szCs w:val="20"/>
          <w:color w:val="auto"/>
        </w:rPr>
      </w:pPr>
    </w:p>
    <w:p>
      <w:pPr>
        <w:jc w:val="both"/>
        <w:ind w:firstLine="1304"/>
        <w:spacing w:after="0" w:line="260" w:lineRule="auto"/>
        <w:tabs>
          <w:tab w:leader="none" w:pos="1818" w:val="left"/>
        </w:tabs>
        <w:numPr>
          <w:ilvl w:val="2"/>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In the event that after reasonable and diligent effort to coordinate with Employee, the Company (or the applicable member of the Company Group) is unable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w:t>
      </w:r>
    </w:p>
    <w:p>
      <w:pPr>
        <w:spacing w:after="0" w:line="174" w:lineRule="exact"/>
        <w:rPr>
          <w:rFonts w:ascii="Times New Roman" w:cs="Times New Roman" w:eastAsia="Times New Roman" w:hAnsi="Times New Roman"/>
          <w:sz w:val="21"/>
          <w:szCs w:val="21"/>
          <w:color w:val="010000"/>
        </w:rPr>
      </w:pPr>
    </w:p>
    <w:p>
      <w:pPr>
        <w:jc w:val="both"/>
        <w:ind w:firstLine="656"/>
        <w:spacing w:after="0" w:line="265" w:lineRule="auto"/>
        <w:tabs>
          <w:tab w:leader="none" w:pos="1134" w:val="left"/>
        </w:tabs>
        <w:numPr>
          <w:ilvl w:val="1"/>
          <w:numId w:val="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Defense of Claims</w:t>
      </w:r>
      <w:r>
        <w:rPr>
          <w:rFonts w:ascii="Times New Roman" w:cs="Times New Roman" w:eastAsia="Times New Roman" w:hAnsi="Times New Roman"/>
          <w:sz w:val="21"/>
          <w:szCs w:val="21"/>
          <w:color w:val="auto"/>
        </w:rPr>
        <w:t>. During the Employment Period and for a period of one (1) year following the Termination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request from the Company, Employee shall reasonably cooperate with the Company Group, at times and locations agreeable to Employee, to assist (a) in the prosecution of any claims that may be made by the Company Group, to the extent that such claims may relate to Employee’s employment with the Company and about which Employee has substantial knowledge and</w:t>
      </w:r>
    </w:p>
    <w:p>
      <w:pPr>
        <w:jc w:val="both"/>
        <w:ind w:firstLine="8"/>
        <w:spacing w:after="0" w:line="246" w:lineRule="auto"/>
        <w:tabs>
          <w:tab w:leader="none" w:pos="32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defense of any claims that may be made by or against any member of the Company Group that relate to Employee’s actual or prior areas of responsibility (collectively, (a) and (b) of this sentence, the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Employee agrees to promptly inform the Company if Employee becomes aware of any lawsuits involving Claims that may be filed or threatened against the Company Group. Subject to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Employee also agrees to promptly inform the Company (to the extent that Employee is legally permitted to do so) if Employee is asked to assist in any investigation of the Company Group (or their actions) or another party attempts to obtain information or documents from Employee (other than in connection with any litigation or other proceeding in which Employee is a party-in-opposition) with respect to matters Employee believes in good faith to relate to any investigation of the Company Group, in each case, regardless of whether a lawsuit or other proceeding has then been filed against the Company Group with respect to such investigation, and shall not do so unless legally required. Subject to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during the pendency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22"/>
          <w:szCs w:val="22"/>
          <w:color w:val="auto"/>
        </w:rPr>
        <w:t>litigation or other proceeding involving Claims, Employee shall not communicate with anyone (other than Employee’s attorneys and tax and/or financial advisors and except to the extent that Employee determines in good faith is necessary in connection with the performance of Employee’s duties hereunder) with respect to the facts or subject matter of any pending or potential litigation or regulatory or administrative proceeding involving the Company Group without giving prior written notice to the Company or the Company’s counsel.</w:t>
      </w:r>
    </w:p>
    <w:p>
      <w:pPr>
        <w:spacing w:after="0" w:line="175" w:lineRule="exact"/>
        <w:rPr>
          <w:sz w:val="20"/>
          <w:szCs w:val="20"/>
          <w:color w:val="auto"/>
        </w:rPr>
      </w:pPr>
    </w:p>
    <w:p>
      <w:pPr>
        <w:jc w:val="both"/>
        <w:ind w:firstLine="656"/>
        <w:spacing w:after="0" w:line="263" w:lineRule="auto"/>
        <w:tabs>
          <w:tab w:leader="none" w:pos="1161"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Non-Disparagement</w:t>
      </w:r>
      <w:r>
        <w:rPr>
          <w:rFonts w:ascii="Times New Roman" w:cs="Times New Roman" w:eastAsia="Times New Roman" w:hAnsi="Times New Roman"/>
          <w:sz w:val="21"/>
          <w:szCs w:val="21"/>
          <w:color w:val="auto"/>
        </w:rPr>
        <w:t>. During the Employment Period and thereafter, except to the extent compelled or required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applicable law and subject to </w:t>
      </w:r>
      <w:r>
        <w:rPr>
          <w:rFonts w:ascii="Times New Roman" w:cs="Times New Roman" w:eastAsia="Times New Roman" w:hAnsi="Times New Roman"/>
          <w:sz w:val="21"/>
          <w:szCs w:val="21"/>
          <w:u w:val="single" w:color="auto"/>
          <w:color w:val="auto"/>
        </w:rPr>
        <w:t>Section 10(e)</w:t>
      </w:r>
      <w:r>
        <w:rPr>
          <w:rFonts w:ascii="Times New Roman" w:cs="Times New Roman" w:eastAsia="Times New Roman" w:hAnsi="Times New Roman"/>
          <w:sz w:val="21"/>
          <w:szCs w:val="21"/>
          <w:color w:val="auto"/>
        </w:rPr>
        <w:t xml:space="preserve">, Employee agrees Employee shall not disparage the Company Group or its respective officers, directors, employees, shareholders or successors or their respective products or services, in any manner (including but not limited to, verbally or via hard copy, websites, blogs, social media forums or any other medium);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nothing in this Section shall prevent Employee from: engaging in concerted activity relative to the terms and conditions of Employee’s employment and in communications protected under the National Labor Relations Act, filing a charge or providing information to any governmental agency;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nothing in this Section shall prevent Employee from providing information in response to a subpoena or other enforceable legal process or as otherwise required by law.</w:t>
      </w:r>
    </w:p>
    <w:p>
      <w:pPr>
        <w:spacing w:after="0" w:line="164" w:lineRule="exact"/>
        <w:rPr>
          <w:rFonts w:ascii="Times New Roman" w:cs="Times New Roman" w:eastAsia="Times New Roman" w:hAnsi="Times New Roman"/>
          <w:sz w:val="21"/>
          <w:szCs w:val="21"/>
          <w:color w:val="010000"/>
        </w:rPr>
      </w:pPr>
    </w:p>
    <w:p>
      <w:pPr>
        <w:jc w:val="both"/>
        <w:ind w:firstLine="656"/>
        <w:spacing w:after="0" w:line="252" w:lineRule="auto"/>
        <w:tabs>
          <w:tab w:leader="none" w:pos="1188"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Reasonableness of Covenants</w:t>
      </w:r>
      <w:r>
        <w:rPr>
          <w:rFonts w:ascii="Times New Roman" w:cs="Times New Roman" w:eastAsia="Times New Roman" w:hAnsi="Times New Roman"/>
          <w:sz w:val="22"/>
          <w:szCs w:val="22"/>
          <w:color w:val="auto"/>
        </w:rPr>
        <w:t>. In signing this Agreement, Employee has carefully read and considered all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terms and conditions of this Agreement, including the restraints imposed under these </w:t>
      </w:r>
      <w:r>
        <w:rPr>
          <w:rFonts w:ascii="Times New Roman" w:cs="Times New Roman" w:eastAsia="Times New Roman" w:hAnsi="Times New Roman"/>
          <w:sz w:val="22"/>
          <w:szCs w:val="22"/>
          <w:u w:val="single" w:color="auto"/>
          <w:color w:val="auto"/>
        </w:rPr>
        <w:t>Sections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14</w:t>
      </w:r>
      <w:r>
        <w:rPr>
          <w:rFonts w:ascii="Times New Roman" w:cs="Times New Roman" w:eastAsia="Times New Roman" w:hAnsi="Times New Roman"/>
          <w:sz w:val="22"/>
          <w:szCs w:val="22"/>
          <w:color w:val="auto"/>
        </w:rPr>
        <w:t>. Employee agrees that these restraints are necessary for the reasonable and proper protection of the Company Group and their trade secrets and Confidential Information and that such restraints are reasonable in respect to subject matter, length of time and geographic area. Employee acknowledges that each of these covenants has a unique, very substantial and immeasurable value to the Company Group.</w:t>
      </w:r>
    </w:p>
    <w:p>
      <w:pPr>
        <w:spacing w:after="0" w:line="188" w:lineRule="exact"/>
        <w:rPr>
          <w:rFonts w:ascii="Times New Roman" w:cs="Times New Roman" w:eastAsia="Times New Roman" w:hAnsi="Times New Roman"/>
          <w:sz w:val="22"/>
          <w:szCs w:val="22"/>
          <w:color w:val="010000"/>
        </w:rPr>
      </w:pPr>
    </w:p>
    <w:p>
      <w:pPr>
        <w:jc w:val="both"/>
        <w:ind w:firstLine="656"/>
        <w:spacing w:after="0" w:line="253" w:lineRule="auto"/>
        <w:tabs>
          <w:tab w:leader="none" w:pos="1134"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Tolling</w:t>
      </w:r>
      <w:r>
        <w:rPr>
          <w:rFonts w:ascii="Times New Roman" w:cs="Times New Roman" w:eastAsia="Times New Roman" w:hAnsi="Times New Roman"/>
          <w:sz w:val="22"/>
          <w:szCs w:val="22"/>
          <w:color w:val="auto"/>
        </w:rPr>
        <w:t>. In the event of any violation of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Employee acknowledges and agrees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post-termination restrictions contained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shall be extended by a period of time equal to the period of such violation, as determined by a court of law, it being the intention of the parties hereto that the running of the applicable post-termination restriction period shall be tolled during any period of such violation.</w:t>
      </w:r>
    </w:p>
    <w:p>
      <w:pPr>
        <w:spacing w:after="0" w:line="175" w:lineRule="exact"/>
        <w:rPr>
          <w:rFonts w:ascii="Times New Roman" w:cs="Times New Roman" w:eastAsia="Times New Roman" w:hAnsi="Times New Roman"/>
          <w:sz w:val="22"/>
          <w:szCs w:val="22"/>
          <w:color w:val="010000"/>
        </w:rPr>
      </w:pPr>
    </w:p>
    <w:p>
      <w:pPr>
        <w:jc w:val="both"/>
        <w:ind w:right="20" w:firstLine="656"/>
        <w:spacing w:after="0" w:line="265" w:lineRule="auto"/>
        <w:tabs>
          <w:tab w:leader="none" w:pos="1134"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Withholdings; Deductions</w:t>
      </w:r>
      <w:r>
        <w:rPr>
          <w:rFonts w:ascii="Times New Roman" w:cs="Times New Roman" w:eastAsia="Times New Roman" w:hAnsi="Times New Roman"/>
          <w:sz w:val="22"/>
          <w:szCs w:val="22"/>
          <w:color w:val="auto"/>
        </w:rPr>
        <w:t>. The Company may withhold and deduct from any benefits and payments made or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pursuant to this Agreement (a) all federal, state, local and other taxes as may be required pursuant to any law or governmental regulation or ruling and (b) any deductions consented to in writing by Employee.</w:t>
      </w:r>
    </w:p>
    <w:p>
      <w:pPr>
        <w:spacing w:after="0" w:line="161" w:lineRule="exact"/>
        <w:rPr>
          <w:rFonts w:ascii="Times New Roman" w:cs="Times New Roman" w:eastAsia="Times New Roman" w:hAnsi="Times New Roman"/>
          <w:sz w:val="22"/>
          <w:szCs w:val="22"/>
          <w:color w:val="010000"/>
        </w:rPr>
      </w:pPr>
    </w:p>
    <w:p>
      <w:pPr>
        <w:jc w:val="both"/>
        <w:ind w:firstLine="656"/>
        <w:spacing w:after="0" w:line="250" w:lineRule="auto"/>
        <w:tabs>
          <w:tab w:leader="none" w:pos="1134"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Title and Headings; Construction</w:t>
      </w:r>
      <w:r>
        <w:rPr>
          <w:rFonts w:ascii="Times New Roman" w:cs="Times New Roman" w:eastAsia="Times New Roman" w:hAnsi="Times New Roman"/>
          <w:sz w:val="22"/>
          <w:szCs w:val="22"/>
          <w:color w:val="auto"/>
        </w:rPr>
        <w:t>. Titles and headings to Sections hereof are for the purpose of reference only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All references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25" w:name="page26"/>
    <w:bookmarkEnd w:id="25"/>
    <w:p>
      <w:pPr>
        <w:jc w:val="both"/>
        <w:spacing w:after="0" w:line="249" w:lineRule="auto"/>
        <w:rPr>
          <w:sz w:val="20"/>
          <w:szCs w:val="20"/>
          <w:color w:val="auto"/>
        </w:rPr>
      </w:pPr>
      <w:r>
        <w:rPr>
          <w:rFonts w:ascii="Times New Roman" w:cs="Times New Roman" w:eastAsia="Times New Roman" w:hAnsi="Times New Roman"/>
          <w:sz w:val="22"/>
          <w:szCs w:val="22"/>
          <w:color w:val="auto"/>
        </w:rPr>
        <w:t>“dollars” or “$” in this Agreement refer to United States dollars. 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91" w:lineRule="exact"/>
        <w:rPr>
          <w:sz w:val="20"/>
          <w:szCs w:val="20"/>
          <w:color w:val="auto"/>
        </w:rPr>
      </w:pPr>
    </w:p>
    <w:p>
      <w:pPr>
        <w:jc w:val="both"/>
        <w:ind w:firstLine="656"/>
        <w:spacing w:after="0" w:line="253" w:lineRule="auto"/>
        <w:tabs>
          <w:tab w:leader="none" w:pos="1228"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color w:val="auto"/>
        </w:rPr>
        <w:t>. This Agreement shall in all respects be construed according to the laws of the State of Texas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Houston, Texas.</w:t>
      </w:r>
    </w:p>
    <w:p>
      <w:pPr>
        <w:spacing w:after="0" w:line="175" w:lineRule="exact"/>
        <w:rPr>
          <w:rFonts w:ascii="Times New Roman" w:cs="Times New Roman" w:eastAsia="Times New Roman" w:hAnsi="Times New Roman"/>
          <w:sz w:val="22"/>
          <w:szCs w:val="22"/>
          <w:color w:val="010000"/>
        </w:rPr>
      </w:pPr>
    </w:p>
    <w:p>
      <w:pPr>
        <w:jc w:val="both"/>
        <w:ind w:firstLine="656"/>
        <w:spacing w:after="0" w:line="251" w:lineRule="auto"/>
        <w:tabs>
          <w:tab w:leader="none" w:pos="1174"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Entire Agreement and Amendment</w:t>
      </w:r>
      <w:r>
        <w:rPr>
          <w:rFonts w:ascii="Times New Roman" w:cs="Times New Roman" w:eastAsia="Times New Roman" w:hAnsi="Times New Roman"/>
          <w:sz w:val="22"/>
          <w:szCs w:val="22"/>
          <w:color w:val="auto"/>
        </w:rPr>
        <w:t>. This Agreement contains the entire agreement of the parties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matters covered herein and, as of the Effective Date, supersedes all prior and contemporaneous agreements and understandings, oral or written, between the parties hereto concerning the subject matter hereof (including, without limitation, the Prior Agreement), other than (x) that certain Indemnification Agreement, dated May 17, 2023, between the Company and the Employee or any other indemnification rights of the Employee that are in effect or outstanding as of the Effective Date, (y) equity award agreements that are in effect or outstanding as of the Effective Date (other than as such equity award agreements may be modified hereby), or (z) the terms of Employee’s Annual Bonus for the calendar year 2025. This Agreement may be amended only by a written instrument executed by both parties hereto.</w:t>
      </w:r>
    </w:p>
    <w:p>
      <w:pPr>
        <w:spacing w:after="0" w:line="178" w:lineRule="exact"/>
        <w:rPr>
          <w:rFonts w:ascii="Times New Roman" w:cs="Times New Roman" w:eastAsia="Times New Roman" w:hAnsi="Times New Roman"/>
          <w:sz w:val="22"/>
          <w:szCs w:val="22"/>
          <w:color w:val="010000"/>
        </w:rPr>
      </w:pPr>
    </w:p>
    <w:p>
      <w:pPr>
        <w:jc w:val="both"/>
        <w:ind w:firstLine="656"/>
        <w:spacing w:after="0" w:line="252" w:lineRule="auto"/>
        <w:tabs>
          <w:tab w:leader="none" w:pos="1134"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Enforcement</w:t>
      </w:r>
      <w:r>
        <w:rPr>
          <w:rFonts w:ascii="Times New Roman" w:cs="Times New Roman" w:eastAsia="Times New Roman" w:hAnsi="Times New Roman"/>
          <w:sz w:val="22"/>
          <w:szCs w:val="22"/>
          <w:color w:val="auto"/>
        </w:rPr>
        <w:t>. The parties hereto acknowledge that an award of damages for failure to comply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10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14</w:t>
      </w:r>
      <w:r>
        <w:rPr>
          <w:rFonts w:ascii="Times New Roman" w:cs="Times New Roman" w:eastAsia="Times New Roman" w:hAnsi="Times New Roman"/>
          <w:sz w:val="22"/>
          <w:szCs w:val="22"/>
          <w:color w:val="auto"/>
        </w:rPr>
        <w:t xml:space="preserve"> of this Agreement may not be an adequate remedy for the Company attempting to enforce or prevent the breach of such provisions, and accordingly the parties hereto authorize the Company to (in addition to any other remedies or relief to which it may be entitled) bring an action against Employee for a permanent or temporary injunction, to compel the specific performance or any other equitable remedy by Employee of their obligations to comply with, or prevent the breach of or remedy the breach of, such provisions without proof of actual damages.</w:t>
      </w:r>
    </w:p>
    <w:p>
      <w:pPr>
        <w:spacing w:after="0" w:line="174" w:lineRule="exact"/>
        <w:rPr>
          <w:rFonts w:ascii="Times New Roman" w:cs="Times New Roman" w:eastAsia="Times New Roman" w:hAnsi="Times New Roman"/>
          <w:sz w:val="22"/>
          <w:szCs w:val="22"/>
          <w:color w:val="010000"/>
        </w:rPr>
      </w:pPr>
    </w:p>
    <w:p>
      <w:pPr>
        <w:jc w:val="both"/>
        <w:ind w:firstLine="656"/>
        <w:spacing w:after="0" w:line="253" w:lineRule="auto"/>
        <w:tabs>
          <w:tab w:leader="none" w:pos="1174"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Waiver of Breach</w:t>
      </w:r>
      <w:r>
        <w:rPr>
          <w:rFonts w:ascii="Times New Roman" w:cs="Times New Roman" w:eastAsia="Times New Roman" w:hAnsi="Times New Roman"/>
          <w:sz w:val="22"/>
          <w:szCs w:val="22"/>
          <w:color w:val="auto"/>
        </w:rPr>
        <w:t>. Any waiver of this Agreement must be executed by the party to be bound by such waiver.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26" w:name="page27"/>
    <w:bookmarkEnd w:id="26"/>
    <w:p>
      <w:pPr>
        <w:spacing w:after="0" w:line="271" w:lineRule="auto"/>
        <w:rPr>
          <w:sz w:val="20"/>
          <w:szCs w:val="20"/>
          <w:color w:val="auto"/>
        </w:rPr>
      </w:pPr>
      <w:r>
        <w:rPr>
          <w:rFonts w:ascii="Times New Roman" w:cs="Times New Roman" w:eastAsia="Times New Roman" w:hAnsi="Times New Roman"/>
          <w:sz w:val="22"/>
          <w:szCs w:val="22"/>
          <w:color w:val="auto"/>
        </w:rPr>
        <w:t>same or any subsequent time. The failure of either party hereto to take any action by reason of any breach will not deprive such party of the right to take action at any time.</w:t>
      </w:r>
    </w:p>
    <w:p>
      <w:pPr>
        <w:spacing w:after="0" w:line="154" w:lineRule="exact"/>
        <w:rPr>
          <w:sz w:val="20"/>
          <w:szCs w:val="20"/>
          <w:color w:val="auto"/>
        </w:rPr>
      </w:pPr>
    </w:p>
    <w:p>
      <w:pPr>
        <w:jc w:val="both"/>
        <w:ind w:firstLine="656"/>
        <w:spacing w:after="0" w:line="258" w:lineRule="auto"/>
        <w:tabs>
          <w:tab w:leader="none" w:pos="1215" w:val="left"/>
        </w:tabs>
        <w:numPr>
          <w:ilvl w:val="1"/>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This Agreement is personal to Employee, and neither this Agreement nor any rights or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shall be assignable or otherwise transferred by Employee. The Company may assign this Agreement without Employee’s consent, including to any member of the Company Group and to any successor (whether by merger, purchase or otherwise) to all or substantially all of the equity, assets or businesses of the Company.</w:t>
      </w:r>
    </w:p>
    <w:p>
      <w:pPr>
        <w:spacing w:after="0" w:line="167" w:lineRule="exact"/>
        <w:rPr>
          <w:rFonts w:ascii="Times New Roman" w:cs="Times New Roman" w:eastAsia="Times New Roman" w:hAnsi="Times New Roman"/>
          <w:sz w:val="22"/>
          <w:szCs w:val="22"/>
          <w:color w:val="010000"/>
        </w:rPr>
      </w:pPr>
    </w:p>
    <w:p>
      <w:pPr>
        <w:ind w:left="1160" w:hanging="504"/>
        <w:spacing w:after="0"/>
        <w:tabs>
          <w:tab w:leader="none" w:pos="1160" w:val="left"/>
        </w:tabs>
        <w:numPr>
          <w:ilvl w:val="1"/>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Notices provided for in this Agreement shall be in writing and shall be deemed to have been duly received</w:t>
      </w:r>
    </w:p>
    <w:p>
      <w:pPr>
        <w:spacing w:after="0" w:line="43" w:lineRule="exact"/>
        <w:rPr>
          <w:rFonts w:ascii="Times New Roman" w:cs="Times New Roman" w:eastAsia="Times New Roman" w:hAnsi="Times New Roman"/>
          <w:sz w:val="21"/>
          <w:szCs w:val="21"/>
          <w:color w:val="010000"/>
        </w:rPr>
      </w:pPr>
    </w:p>
    <w:p>
      <w:pPr>
        <w:jc w:val="both"/>
        <w:ind w:firstLine="8"/>
        <w:spacing w:after="0" w:line="252" w:lineRule="auto"/>
        <w:tabs>
          <w:tab w:leader="none" w:pos="29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If to the Company, addressed to:</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Talen Energy Corporation</w:t>
      </w:r>
    </w:p>
    <w:p>
      <w:pPr>
        <w:ind w:left="1300"/>
        <w:spacing w:after="0" w:line="211" w:lineRule="auto"/>
        <w:rPr>
          <w:sz w:val="20"/>
          <w:szCs w:val="20"/>
          <w:color w:val="auto"/>
        </w:rPr>
      </w:pPr>
      <w:r>
        <w:rPr>
          <w:rFonts w:ascii="Times New Roman" w:cs="Times New Roman" w:eastAsia="Times New Roman" w:hAnsi="Times New Roman"/>
          <w:sz w:val="22"/>
          <w:szCs w:val="22"/>
          <w:color w:val="auto"/>
        </w:rPr>
        <w:t>2929 Allen Parkway,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Texas 77019</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Board of Directors</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If to Employee, addressed to:</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Mark A. McFarland</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[Address redacted]</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 if different, the latest address on file with the Company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53" w:lineRule="auto"/>
        <w:tabs>
          <w:tab w:leader="none" w:pos="1215" w:val="left"/>
        </w:tabs>
        <w:numPr>
          <w:ilvl w:val="1"/>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including by electronic mail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75" w:lineRule="exact"/>
        <w:rPr>
          <w:rFonts w:ascii="Times New Roman" w:cs="Times New Roman" w:eastAsia="Times New Roman" w:hAnsi="Times New Roman"/>
          <w:sz w:val="22"/>
          <w:szCs w:val="22"/>
          <w:color w:val="010000"/>
        </w:rPr>
      </w:pPr>
    </w:p>
    <w:p>
      <w:pPr>
        <w:jc w:val="both"/>
        <w:ind w:firstLine="656"/>
        <w:spacing w:after="0" w:line="253" w:lineRule="auto"/>
        <w:tabs>
          <w:tab w:leader="none" w:pos="1269" w:val="left"/>
        </w:tabs>
        <w:numPr>
          <w:ilvl w:val="1"/>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Deemed Resignations</w:t>
      </w:r>
      <w:r>
        <w:rPr>
          <w:rFonts w:ascii="Times New Roman" w:cs="Times New Roman" w:eastAsia="Times New Roman" w:hAnsi="Times New Roman"/>
          <w:sz w:val="22"/>
          <w:szCs w:val="22"/>
          <w:color w:val="auto"/>
        </w:rPr>
        <w:t>. Except as otherwise determined by the Board or as otherwise agreed to in writing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w:t>
      </w:r>
    </w:p>
    <w:p>
      <w:pPr>
        <w:jc w:val="both"/>
        <w:ind w:firstLine="8"/>
        <w:spacing w:after="0" w:line="247" w:lineRule="auto"/>
        <w:tabs>
          <w:tab w:leader="none" w:pos="29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27" w:name="page28"/>
    <w:bookmarkEnd w:id="27"/>
    <w:p>
      <w:pPr>
        <w:ind w:left="1140" w:hanging="484"/>
        <w:spacing w:after="0"/>
        <w:tabs>
          <w:tab w:leader="none" w:pos="1140"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900" w:val="left"/>
        </w:tabs>
        <w:numPr>
          <w:ilvl w:val="1"/>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provision of this Agreement to the contrary, all provisions of this Agreement are intended to comply with Section 409A of the Code and the applicable Treasury regulations and administrative guidance issued thereunder (collectively,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w:t>
      </w:r>
    </w:p>
    <w:p>
      <w:pPr>
        <w:spacing w:after="0" w:line="186"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872" w:val="left"/>
        </w:tabs>
        <w:numPr>
          <w:ilvl w:val="1"/>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foregoing clause shall not be violated with regard to expenses reimbursed under any arrangement covered by Section 105(b) of the Code solely because such expenses are subject to a limit related to the period in which the arrangement is in effect.</w:t>
      </w:r>
    </w:p>
    <w:p>
      <w:pPr>
        <w:spacing w:after="0" w:line="185"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46" w:val="left"/>
        </w:tabs>
        <w:numPr>
          <w:ilvl w:val="1"/>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provision in this Agreement to the contrary, if any payment or benefit provided for herein would be subject to additional taxes and interest under Section 409A if Employee’s receipt of such payment or benefit is not delayed until the earlier of the date of Employee’s death or the date that is six (6) months after the Termination Date (such date, the “</w:t>
      </w:r>
      <w:r>
        <w:rPr>
          <w:rFonts w:ascii="Times New Roman" w:cs="Times New Roman" w:eastAsia="Times New Roman" w:hAnsi="Times New Roman"/>
          <w:sz w:val="22"/>
          <w:szCs w:val="22"/>
          <w:u w:val="single" w:color="auto"/>
          <w:color w:val="auto"/>
        </w:rPr>
        <w:t>Section 409A Payment Date</w:t>
      </w:r>
      <w:r>
        <w:rPr>
          <w:rFonts w:ascii="Times New Roman" w:cs="Times New Roman" w:eastAsia="Times New Roman" w:hAnsi="Times New Roman"/>
          <w:sz w:val="22"/>
          <w:szCs w:val="22"/>
          <w:color w:val="auto"/>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spacing w:after="0" w:line="182"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228"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Effect of Termination</w:t>
      </w:r>
      <w:r>
        <w:rPr>
          <w:rFonts w:ascii="Times New Roman" w:cs="Times New Roman" w:eastAsia="Times New Roman" w:hAnsi="Times New Roman"/>
          <w:sz w:val="22"/>
          <w:szCs w:val="22"/>
          <w:color w:val="auto"/>
        </w:rPr>
        <w:t>.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8(a)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9-16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21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27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those provisions necessary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 and enforce them, shall survive any termination of this Agreement and any termination of the employment relationship between Employee and the Company.</w:t>
      </w:r>
    </w:p>
    <w:p>
      <w:pPr>
        <w:spacing w:after="0" w:line="166" w:lineRule="exact"/>
        <w:rPr>
          <w:rFonts w:ascii="Times New Roman" w:cs="Times New Roman" w:eastAsia="Times New Roman" w:hAnsi="Times New Roman"/>
          <w:sz w:val="22"/>
          <w:szCs w:val="22"/>
          <w:color w:val="010000"/>
        </w:rPr>
      </w:pPr>
    </w:p>
    <w:p>
      <w:pPr>
        <w:jc w:val="both"/>
        <w:ind w:firstLine="656"/>
        <w:spacing w:after="0" w:line="265" w:lineRule="auto"/>
        <w:tabs>
          <w:tab w:leader="none" w:pos="1147"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Each member of the Company Group that is not a signatory to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third-party beneficiary of Employee’s obligations under </w:t>
      </w:r>
      <w:r>
        <w:rPr>
          <w:rFonts w:ascii="Times New Roman" w:cs="Times New Roman" w:eastAsia="Times New Roman" w:hAnsi="Times New Roman"/>
          <w:sz w:val="22"/>
          <w:szCs w:val="22"/>
          <w:u w:val="single" w:color="auto"/>
          <w:color w:val="auto"/>
        </w:rPr>
        <w:t>Sections 8-16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 xml:space="preserve"> and shall be entitled to enforce such obligations as if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18" w:right="339" w:bottom="1440" w:gutter="0" w:footer="0" w:header="0"/>
        </w:sectPr>
      </w:pPr>
    </w:p>
    <w:bookmarkStart w:id="28" w:name="page29"/>
    <w:bookmarkEnd w:id="28"/>
    <w:p>
      <w:pPr>
        <w:jc w:val="both"/>
        <w:ind w:firstLine="656"/>
        <w:spacing w:after="0" w:line="247" w:lineRule="auto"/>
        <w:tabs>
          <w:tab w:leader="none" w:pos="1174"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Certain Excise Taxes</w:t>
      </w:r>
      <w:r>
        <w:rPr>
          <w:rFonts w:ascii="Times New Roman" w:cs="Times New Roman" w:eastAsia="Times New Roman" w:hAnsi="Times New Roman"/>
          <w:sz w:val="22"/>
          <w:szCs w:val="22"/>
          <w:color w:val="auto"/>
        </w:rPr>
        <w:t>. Notwithstanding anything to the contrary in this Agreement, if Employee is a “disqualified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individual” (as defined in Section 280G(c) of the Code), and the benefits provided for in this Agreement, together with any other payments and benefits which Employee has the right to receive from the Company and its affiliates, would constitute a “parachute payment” (as defined in Section 280G(b)(2) of the Code), then the 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Times New Roman" w:cs="Times New Roman" w:eastAsia="Times New Roman" w:hAnsi="Times New Roman"/>
          <w:sz w:val="22"/>
          <w:szCs w:val="22"/>
          <w:u w:val="single" w:color="auto"/>
          <w:color w:val="auto"/>
        </w:rPr>
        <w:t>Section 30</w:t>
      </w:r>
      <w:r>
        <w:rPr>
          <w:rFonts w:ascii="Times New Roman" w:cs="Times New Roman" w:eastAsia="Times New Roman" w:hAnsi="Times New Roman"/>
          <w:sz w:val="22"/>
          <w:szCs w:val="22"/>
          <w:color w:val="auto"/>
        </w:rPr>
        <w:t xml:space="preserve"> shall require the Company to be responsible for, or have any liability or obligation with respect to, Employee’s excise tax liabilities under Section 4999 of the Code.</w:t>
      </w:r>
    </w:p>
    <w:p>
      <w:pPr>
        <w:spacing w:after="0" w:line="190" w:lineRule="exact"/>
        <w:rPr>
          <w:rFonts w:ascii="Times New Roman" w:cs="Times New Roman" w:eastAsia="Times New Roman" w:hAnsi="Times New Roman"/>
          <w:sz w:val="22"/>
          <w:szCs w:val="22"/>
          <w:color w:val="010000"/>
        </w:rPr>
      </w:pPr>
    </w:p>
    <w:p>
      <w:pPr>
        <w:jc w:val="both"/>
        <w:ind w:firstLine="656"/>
        <w:spacing w:after="0" w:line="258" w:lineRule="auto"/>
        <w:tabs>
          <w:tab w:leader="none" w:pos="1147"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 arbitrator or court of competent jurisdiction determines that any provision of this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spacing w:after="0" w:line="1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Blank;</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18" w:right="339" w:bottom="1440" w:gutter="0" w:footer="0" w:header="0"/>
        </w:sectPr>
      </w:pPr>
    </w:p>
    <w:bookmarkStart w:id="29" w:name="page30"/>
    <w:bookmarkEnd w:id="29"/>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Employee and the Company each have caused this Agreement to be executed and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Effective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1811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Mark A. McFarland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6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TALEN ENERGY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Andrew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11601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 Andrew Wright</w:t>
      </w:r>
    </w:p>
    <w:p>
      <w:pPr>
        <w:spacing w:after="0" w:line="1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Title: 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EMPLOYMENT AGREEMENT</w:t>
      </w:r>
    </w:p>
    <w:p>
      <w:pPr>
        <w:sectPr>
          <w:pgSz w:w="11900" w:h="16838" w:orient="portrait"/>
          <w:cols w:equalWidth="0" w:num="1">
            <w:col w:w="11240"/>
          </w:cols>
          <w:pgMar w:left="320" w:top="1418" w:right="33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253"/>
        </w:trPr>
        <w:tc>
          <w:tcPr>
            <w:tcW w:w="3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A</w:t>
            </w:r>
          </w:p>
        </w:tc>
        <w:tc>
          <w:tcPr>
            <w:tcW w:w="4620" w:type="dxa"/>
            <w:vAlign w:val="bottom"/>
            <w:gridSpan w:val="6"/>
          </w:tcPr>
          <w:p>
            <w:pPr>
              <w:spacing w:after="0"/>
              <w:rPr>
                <w:sz w:val="22"/>
                <w:szCs w:val="22"/>
                <w:color w:val="auto"/>
              </w:rPr>
            </w:pPr>
          </w:p>
        </w:tc>
      </w:tr>
      <w:tr>
        <w:trPr>
          <w:trHeight w:val="493"/>
        </w:trPr>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LTIP TERM SHEET: 2026 AWARDS</w:t>
            </w:r>
          </w:p>
        </w:tc>
        <w:tc>
          <w:tcPr>
            <w:tcW w:w="3460" w:type="dxa"/>
            <w:vAlign w:val="bottom"/>
            <w:gridSpan w:val="4"/>
          </w:tcPr>
          <w:p>
            <w:pPr>
              <w:spacing w:after="0"/>
              <w:rPr>
                <w:sz w:val="24"/>
                <w:szCs w:val="24"/>
                <w:color w:val="auto"/>
              </w:rPr>
            </w:pPr>
          </w:p>
        </w:tc>
      </w:tr>
      <w:tr>
        <w:trPr>
          <w:trHeight w:val="263"/>
        </w:trPr>
        <w:tc>
          <w:tcPr>
            <w:tcW w:w="3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spacing w:after="0"/>
              <w:rPr>
                <w:sz w:val="22"/>
                <w:szCs w:val="22"/>
                <w:color w:val="auto"/>
              </w:rPr>
            </w:pPr>
          </w:p>
        </w:tc>
        <w:tc>
          <w:tcPr>
            <w:tcW w:w="1140" w:type="dxa"/>
            <w:vAlign w:val="bottom"/>
            <w:tcBorders>
              <w:bottom w:val="single" w:sz="8" w:color="auto"/>
            </w:tcBorders>
            <w:gridSpan w:val="2"/>
          </w:tcPr>
          <w:p>
            <w:pPr>
              <w:spacing w:after="0"/>
              <w:rPr>
                <w:sz w:val="22"/>
                <w:szCs w:val="22"/>
                <w:color w:val="auto"/>
              </w:rPr>
            </w:pPr>
          </w:p>
        </w:tc>
        <w:tc>
          <w:tcPr>
            <w:tcW w:w="280" w:type="dxa"/>
            <w:vAlign w:val="bottom"/>
            <w:tcBorders>
              <w:bottom w:val="single" w:sz="8" w:color="auto"/>
            </w:tcBorders>
            <w:gridSpan w:val="2"/>
          </w:tcPr>
          <w:p>
            <w:pPr>
              <w:spacing w:after="0"/>
              <w:rPr>
                <w:sz w:val="22"/>
                <w:szCs w:val="22"/>
                <w:color w:val="auto"/>
              </w:rPr>
            </w:pPr>
          </w:p>
        </w:tc>
        <w:tc>
          <w:tcPr>
            <w:tcW w:w="1440" w:type="dxa"/>
            <w:vAlign w:val="bottom"/>
            <w:tcBorders>
              <w:bottom w:val="single" w:sz="8" w:color="auto"/>
            </w:tcBorders>
            <w:gridSpan w:val="2"/>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r>
      <w:tr>
        <w:trPr>
          <w:trHeight w:val="273"/>
        </w:trPr>
        <w:tc>
          <w:tcPr>
            <w:tcW w:w="3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Target Award Amount</w:t>
            </w: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Awards consisting of (i) ordinary-course grants with a grant date fair value</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7540" w:type="dxa"/>
            <w:vAlign w:val="bottom"/>
            <w:tcBorders>
              <w:right w:val="single" w:sz="8" w:color="auto"/>
            </w:tcBorders>
            <w:gridSpan w:val="11"/>
          </w:tcPr>
          <w:p>
            <w:pPr>
              <w:ind w:left="500"/>
              <w:spacing w:after="0" w:line="233" w:lineRule="exact"/>
              <w:rPr>
                <w:sz w:val="20"/>
                <w:szCs w:val="20"/>
                <w:color w:val="auto"/>
              </w:rPr>
            </w:pPr>
            <w:r>
              <w:rPr>
                <w:rFonts w:ascii="Times New Roman" w:cs="Times New Roman" w:eastAsia="Times New Roman" w:hAnsi="Times New Roman"/>
                <w:sz w:val="22"/>
                <w:szCs w:val="22"/>
                <w:color w:val="auto"/>
              </w:rPr>
              <w:t xml:space="preserve">equal to 100% of Employee’s LTIP target (the “Standard Awards”)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a</w:t>
            </w:r>
          </w:p>
        </w:tc>
      </w:tr>
      <w:tr>
        <w:trPr>
          <w:trHeight w:val="20"/>
        </w:trPr>
        <w:tc>
          <w:tcPr>
            <w:tcW w:w="3160" w:type="dxa"/>
            <w:vAlign w:val="bottom"/>
            <w:tcBorders>
              <w:left w:val="single" w:sz="8" w:color="auto"/>
              <w:right w:val="single" w:sz="8" w:color="auto"/>
            </w:tcBorders>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r>
      <w:tr>
        <w:trPr>
          <w:trHeight w:val="263"/>
        </w:trPr>
        <w:tc>
          <w:tcPr>
            <w:tcW w:w="316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one-time grant of awards with a grant date fair value equal to 67% of</w:t>
            </w:r>
          </w:p>
        </w:tc>
      </w:tr>
      <w:tr>
        <w:trPr>
          <w:trHeight w:val="230"/>
        </w:trPr>
        <w:tc>
          <w:tcPr>
            <w:tcW w:w="3160" w:type="dxa"/>
            <w:vAlign w:val="bottom"/>
            <w:tcBorders>
              <w:left w:val="single" w:sz="8" w:color="auto"/>
              <w:right w:val="single" w:sz="8" w:color="auto"/>
            </w:tcBorders>
          </w:tcPr>
          <w:p>
            <w:pPr>
              <w:spacing w:after="0"/>
              <w:rPr>
                <w:sz w:val="19"/>
                <w:szCs w:val="19"/>
                <w:color w:val="auto"/>
              </w:rPr>
            </w:pPr>
          </w:p>
        </w:tc>
        <w:tc>
          <w:tcPr>
            <w:tcW w:w="7540" w:type="dxa"/>
            <w:vAlign w:val="bottom"/>
            <w:tcBorders>
              <w:right w:val="single" w:sz="8" w:color="auto"/>
            </w:tcBorders>
            <w:gridSpan w:val="11"/>
          </w:tcPr>
          <w:p>
            <w:pPr>
              <w:ind w:left="500"/>
              <w:spacing w:after="0" w:line="230" w:lineRule="exact"/>
              <w:rPr>
                <w:sz w:val="20"/>
                <w:szCs w:val="20"/>
                <w:color w:val="auto"/>
              </w:rPr>
            </w:pPr>
            <w:r>
              <w:rPr>
                <w:rFonts w:ascii="Times New Roman" w:cs="Times New Roman" w:eastAsia="Times New Roman" w:hAnsi="Times New Roman"/>
                <w:sz w:val="22"/>
                <w:szCs w:val="22"/>
                <w:color w:val="auto"/>
                <w:w w:val="98"/>
              </w:rPr>
              <w:t>Employee’s LTIP target (the “True-Up Awards” and, together with the Standard</w:t>
            </w:r>
          </w:p>
        </w:tc>
      </w:tr>
      <w:tr>
        <w:trPr>
          <w:trHeight w:val="237"/>
        </w:trPr>
        <w:tc>
          <w:tcPr>
            <w:tcW w:w="3160" w:type="dxa"/>
            <w:vAlign w:val="bottom"/>
            <w:tcBorders>
              <w:left w:val="single" w:sz="8" w:color="auto"/>
              <w:right w:val="single" w:sz="8" w:color="auto"/>
            </w:tcBorders>
          </w:tcPr>
          <w:p>
            <w:pPr>
              <w:spacing w:after="0"/>
              <w:rPr>
                <w:sz w:val="20"/>
                <w:szCs w:val="20"/>
                <w:color w:val="auto"/>
              </w:rPr>
            </w:pPr>
          </w:p>
        </w:tc>
        <w:tc>
          <w:tcPr>
            <w:tcW w:w="3100" w:type="dxa"/>
            <w:vAlign w:val="bottom"/>
            <w:gridSpan w:val="6"/>
          </w:tcPr>
          <w:p>
            <w:pPr>
              <w:ind w:left="500"/>
              <w:spacing w:after="0" w:line="237" w:lineRule="exact"/>
              <w:rPr>
                <w:sz w:val="20"/>
                <w:szCs w:val="20"/>
                <w:color w:val="auto"/>
              </w:rPr>
            </w:pPr>
            <w:r>
              <w:rPr>
                <w:rFonts w:ascii="Times New Roman" w:cs="Times New Roman" w:eastAsia="Times New Roman" w:hAnsi="Times New Roman"/>
                <w:sz w:val="22"/>
                <w:szCs w:val="22"/>
                <w:color w:val="auto"/>
                <w:w w:val="98"/>
              </w:rPr>
              <w:t>Awards, the “2026 Awards”).</w:t>
            </w:r>
          </w:p>
        </w:tc>
        <w:tc>
          <w:tcPr>
            <w:tcW w:w="1440" w:type="dxa"/>
            <w:vAlign w:val="bottom"/>
            <w:tcBorders>
              <w:top w:val="single" w:sz="8" w:color="auto"/>
            </w:tcBorders>
            <w:gridSpan w:val="2"/>
          </w:tcPr>
          <w:p>
            <w:pPr>
              <w:spacing w:after="0"/>
              <w:rPr>
                <w:sz w:val="20"/>
                <w:szCs w:val="20"/>
                <w:color w:val="auto"/>
              </w:rPr>
            </w:pPr>
          </w:p>
        </w:tc>
        <w:tc>
          <w:tcPr>
            <w:tcW w:w="3000" w:type="dxa"/>
            <w:vAlign w:val="bottom"/>
            <w:tcBorders>
              <w:right w:val="single" w:sz="8" w:color="auto"/>
            </w:tcBorders>
            <w:gridSpan w:val="3"/>
          </w:tcPr>
          <w:p>
            <w:pPr>
              <w:spacing w:after="0"/>
              <w:rPr>
                <w:sz w:val="20"/>
                <w:szCs w:val="20"/>
                <w:color w:val="auto"/>
              </w:rPr>
            </w:pPr>
          </w:p>
        </w:tc>
      </w:tr>
      <w:tr>
        <w:trPr>
          <w:trHeight w:val="156"/>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277"/>
        </w:trPr>
        <w:tc>
          <w:tcPr>
            <w:tcW w:w="3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PSU/RSU Allocation</w:t>
            </w: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Standard Awards and True-Up Awards to each consist of no more than 70%</w:t>
            </w:r>
          </w:p>
        </w:tc>
      </w:tr>
      <w:tr>
        <w:trPr>
          <w:trHeight w:val="282"/>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PSUs, with remaining 2026 Awards being RSUs.</w:t>
            </w:r>
          </w:p>
        </w:tc>
      </w:tr>
      <w:tr>
        <w:trPr>
          <w:trHeight w:val="339"/>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PSUs to have 3% “kicker” (and terms consistent with prior awards, including a</w:t>
            </w:r>
          </w:p>
        </w:tc>
      </w:tr>
      <w:tr>
        <w:trPr>
          <w:trHeight w:val="257"/>
        </w:trPr>
        <w:tc>
          <w:tcPr>
            <w:tcW w:w="316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30-day VWAP of Company common stock used to determine CAGR</w:t>
            </w:r>
          </w:p>
        </w:tc>
      </w:tr>
      <w:tr>
        <w:trPr>
          <w:trHeight w:val="282"/>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achievement).</w:t>
            </w:r>
          </w:p>
        </w:tc>
      </w:tr>
      <w:tr>
        <w:trPr>
          <w:trHeight w:val="123"/>
        </w:trPr>
        <w:tc>
          <w:tcPr>
            <w:tcW w:w="3160" w:type="dxa"/>
            <w:vAlign w:val="bottom"/>
            <w:tcBorders>
              <w:left w:val="single" w:sz="8" w:color="auto"/>
              <w:bottom w:val="single" w:sz="8" w:color="auto"/>
              <w:right w:val="single" w:sz="8" w:color="auto"/>
            </w:tcBorders>
          </w:tcPr>
          <w:p>
            <w:pPr>
              <w:spacing w:after="0"/>
              <w:rPr>
                <w:sz w:val="10"/>
                <w:szCs w:val="10"/>
                <w:color w:val="auto"/>
              </w:rPr>
            </w:pPr>
          </w:p>
        </w:tc>
        <w:tc>
          <w:tcPr>
            <w:tcW w:w="168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gridSpan w:val="2"/>
          </w:tcPr>
          <w:p>
            <w:pPr>
              <w:spacing w:after="0"/>
              <w:rPr>
                <w:sz w:val="10"/>
                <w:szCs w:val="10"/>
                <w:color w:val="auto"/>
              </w:rPr>
            </w:pPr>
          </w:p>
        </w:tc>
        <w:tc>
          <w:tcPr>
            <w:tcW w:w="280" w:type="dxa"/>
            <w:vAlign w:val="bottom"/>
            <w:tcBorders>
              <w:bottom w:val="single" w:sz="8" w:color="auto"/>
            </w:tcBorders>
            <w:gridSpan w:val="2"/>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r>
      <w:tr>
        <w:trPr>
          <w:trHeight w:val="289"/>
        </w:trPr>
        <w:tc>
          <w:tcPr>
            <w:tcW w:w="3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Vesting Term</w:t>
            </w: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Standard Awards to have a three-year term.</w:t>
            </w:r>
          </w:p>
        </w:tc>
      </w:tr>
      <w:tr>
        <w:trPr>
          <w:trHeight w:val="378"/>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True-Up Awards to have a two-year term.</w:t>
            </w:r>
          </w:p>
        </w:tc>
      </w:tr>
      <w:tr>
        <w:trPr>
          <w:trHeight w:val="110"/>
        </w:trPr>
        <w:tc>
          <w:tcPr>
            <w:tcW w:w="3160" w:type="dxa"/>
            <w:vAlign w:val="bottom"/>
            <w:tcBorders>
              <w:left w:val="single" w:sz="8" w:color="auto"/>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gridSpan w:val="2"/>
          </w:tcPr>
          <w:p>
            <w:pPr>
              <w:spacing w:after="0"/>
              <w:rPr>
                <w:sz w:val="9"/>
                <w:szCs w:val="9"/>
                <w:color w:val="auto"/>
              </w:rPr>
            </w:pPr>
          </w:p>
        </w:tc>
        <w:tc>
          <w:tcPr>
            <w:tcW w:w="114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r>
      <w:tr>
        <w:trPr>
          <w:trHeight w:val="289"/>
        </w:trPr>
        <w:tc>
          <w:tcPr>
            <w:tcW w:w="3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Vesting Mechanics</w:t>
            </w: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RSUs: Ratably on each anniversary of grant.</w:t>
            </w:r>
          </w:p>
        </w:tc>
      </w:tr>
      <w:tr>
        <w:trPr>
          <w:trHeight w:val="378"/>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PSUs: Cliff-vesting at end of term.</w:t>
            </w:r>
          </w:p>
        </w:tc>
      </w:tr>
      <w:tr>
        <w:trPr>
          <w:trHeight w:val="110"/>
        </w:trPr>
        <w:tc>
          <w:tcPr>
            <w:tcW w:w="3160" w:type="dxa"/>
            <w:vAlign w:val="bottom"/>
            <w:tcBorders>
              <w:left w:val="single" w:sz="8" w:color="auto"/>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gridSpan w:val="2"/>
          </w:tcPr>
          <w:p>
            <w:pPr>
              <w:spacing w:after="0"/>
              <w:rPr>
                <w:sz w:val="9"/>
                <w:szCs w:val="9"/>
                <w:color w:val="auto"/>
              </w:rPr>
            </w:pPr>
          </w:p>
        </w:tc>
        <w:tc>
          <w:tcPr>
            <w:tcW w:w="114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r>
      <w:tr>
        <w:trPr>
          <w:trHeight w:val="277"/>
        </w:trPr>
        <w:tc>
          <w:tcPr>
            <w:tcW w:w="3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PSU Payout Mechanics</w:t>
            </w: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PSUs vesting based on the achievement of 5% (50% of target PSUs), 7.5%</w:t>
            </w:r>
          </w:p>
        </w:tc>
      </w:tr>
      <w:tr>
        <w:trPr>
          <w:trHeight w:val="257"/>
        </w:trPr>
        <w:tc>
          <w:tcPr>
            <w:tcW w:w="316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(100% of target PSUs) and 10% (200% of target PSUs) CAGR, respectively</w:t>
            </w:r>
          </w:p>
        </w:tc>
      </w:tr>
      <w:tr>
        <w:trPr>
          <w:trHeight w:val="282"/>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(and terms consistent with prior awards, including regarding interpolation).</w:t>
            </w:r>
          </w:p>
        </w:tc>
      </w:tr>
      <w:tr>
        <w:trPr>
          <w:trHeight w:val="339"/>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10-day VWAP of Company common stock used to determine CAGR</w:t>
            </w:r>
          </w:p>
        </w:tc>
      </w:tr>
      <w:tr>
        <w:trPr>
          <w:trHeight w:val="282"/>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achievement.</w:t>
            </w:r>
          </w:p>
        </w:tc>
      </w:tr>
      <w:tr>
        <w:trPr>
          <w:trHeight w:val="123"/>
        </w:trPr>
        <w:tc>
          <w:tcPr>
            <w:tcW w:w="3160" w:type="dxa"/>
            <w:vAlign w:val="bottom"/>
            <w:tcBorders>
              <w:left w:val="single" w:sz="8" w:color="auto"/>
              <w:bottom w:val="single" w:sz="8" w:color="auto"/>
              <w:right w:val="single" w:sz="8" w:color="auto"/>
            </w:tcBorders>
          </w:tcPr>
          <w:p>
            <w:pPr>
              <w:spacing w:after="0"/>
              <w:rPr>
                <w:sz w:val="10"/>
                <w:szCs w:val="10"/>
                <w:color w:val="auto"/>
              </w:rPr>
            </w:pPr>
          </w:p>
        </w:tc>
        <w:tc>
          <w:tcPr>
            <w:tcW w:w="168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gridSpan w:val="2"/>
          </w:tcPr>
          <w:p>
            <w:pPr>
              <w:spacing w:after="0"/>
              <w:rPr>
                <w:sz w:val="10"/>
                <w:szCs w:val="10"/>
                <w:color w:val="auto"/>
              </w:rPr>
            </w:pPr>
          </w:p>
        </w:tc>
        <w:tc>
          <w:tcPr>
            <w:tcW w:w="280" w:type="dxa"/>
            <w:vAlign w:val="bottom"/>
            <w:tcBorders>
              <w:bottom w:val="single" w:sz="8" w:color="auto"/>
            </w:tcBorders>
            <w:gridSpan w:val="2"/>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r>
      <w:tr>
        <w:trPr>
          <w:trHeight w:val="277"/>
        </w:trPr>
        <w:tc>
          <w:tcPr>
            <w:tcW w:w="3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Good Leaver Vesting</w:t>
            </w: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Pro-rata vesting. For RSUs, vesting occurs immediately; for PSUs, vesting</w:t>
            </w:r>
          </w:p>
        </w:tc>
      </w:tr>
      <w:tr>
        <w:trPr>
          <w:trHeight w:val="282"/>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occurs at end of performance period based on actual performance.</w:t>
            </w:r>
          </w:p>
        </w:tc>
      </w:tr>
      <w:tr>
        <w:trPr>
          <w:trHeight w:val="110"/>
        </w:trPr>
        <w:tc>
          <w:tcPr>
            <w:tcW w:w="3160" w:type="dxa"/>
            <w:vAlign w:val="bottom"/>
            <w:tcBorders>
              <w:left w:val="single" w:sz="8" w:color="auto"/>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gridSpan w:val="2"/>
          </w:tcPr>
          <w:p>
            <w:pPr>
              <w:spacing w:after="0"/>
              <w:rPr>
                <w:sz w:val="9"/>
                <w:szCs w:val="9"/>
                <w:color w:val="auto"/>
              </w:rPr>
            </w:pPr>
          </w:p>
        </w:tc>
        <w:tc>
          <w:tcPr>
            <w:tcW w:w="114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r>
      <w:tr>
        <w:trPr>
          <w:trHeight w:val="277"/>
        </w:trPr>
        <w:tc>
          <w:tcPr>
            <w:tcW w:w="3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Death/Disability Vesting</w:t>
            </w: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Pro-rata vesting. For RSUs, vesting occurs immediately; for PSUs, vesting</w:t>
            </w:r>
          </w:p>
        </w:tc>
      </w:tr>
      <w:tr>
        <w:trPr>
          <w:trHeight w:val="282"/>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occurs at end of performance period based on actual performance.</w:t>
            </w:r>
          </w:p>
        </w:tc>
      </w:tr>
      <w:tr>
        <w:trPr>
          <w:trHeight w:val="110"/>
        </w:trPr>
        <w:tc>
          <w:tcPr>
            <w:tcW w:w="3160" w:type="dxa"/>
            <w:vAlign w:val="bottom"/>
            <w:tcBorders>
              <w:left w:val="single" w:sz="8" w:color="auto"/>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gridSpan w:val="2"/>
          </w:tcPr>
          <w:p>
            <w:pPr>
              <w:spacing w:after="0"/>
              <w:rPr>
                <w:sz w:val="9"/>
                <w:szCs w:val="9"/>
                <w:color w:val="auto"/>
              </w:rPr>
            </w:pPr>
          </w:p>
        </w:tc>
        <w:tc>
          <w:tcPr>
            <w:tcW w:w="114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r>
      <w:tr>
        <w:trPr>
          <w:trHeight w:val="277"/>
        </w:trPr>
        <w:tc>
          <w:tcPr>
            <w:tcW w:w="3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Change in Control Vesting</w:t>
            </w: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2026 Awards vest in full if awards are not assumed (with PSU performance</w:t>
            </w:r>
          </w:p>
        </w:tc>
      </w:tr>
      <w:tr>
        <w:trPr>
          <w:trHeight w:val="282"/>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determined based on the Change in Control price).</w:t>
            </w:r>
          </w:p>
        </w:tc>
      </w:tr>
      <w:tr>
        <w:trPr>
          <w:trHeight w:val="339"/>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If 2026 Awards are assumed, to be subject to double-trigger accelerated vesting</w:t>
            </w:r>
          </w:p>
        </w:tc>
      </w:tr>
      <w:tr>
        <w:trPr>
          <w:trHeight w:val="257"/>
        </w:trPr>
        <w:tc>
          <w:tcPr>
            <w:tcW w:w="316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on a termination without Cause or resignation for Good Reason that occurs</w:t>
            </w:r>
          </w:p>
        </w:tc>
      </w:tr>
      <w:tr>
        <w:trPr>
          <w:trHeight w:val="256"/>
        </w:trPr>
        <w:tc>
          <w:tcPr>
            <w:tcW w:w="316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within 18 months following a Change in Control (with PSU performance</w:t>
            </w:r>
          </w:p>
        </w:tc>
      </w:tr>
      <w:tr>
        <w:trPr>
          <w:trHeight w:val="282"/>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determined as of the end of the applicable performance period).</w:t>
            </w:r>
          </w:p>
        </w:tc>
      </w:tr>
      <w:tr>
        <w:trPr>
          <w:trHeight w:val="123"/>
        </w:trPr>
        <w:tc>
          <w:tcPr>
            <w:tcW w:w="3160" w:type="dxa"/>
            <w:vAlign w:val="bottom"/>
            <w:tcBorders>
              <w:left w:val="single" w:sz="8" w:color="auto"/>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r>
    </w:tbl>
    <w:p>
      <w:pPr>
        <w:sectPr>
          <w:pgSz w:w="11900" w:h="16838" w:orient="portrait"/>
          <w:cols w:equalWidth="0" w:num="1">
            <w:col w:w="10700"/>
          </w:cols>
          <w:pgMar w:left="440" w:top="1399" w:right="759" w:bottom="1440" w:gutter="0" w:footer="0" w:header="0"/>
        </w:sectPr>
      </w:pPr>
    </w:p>
    <w:bookmarkStart w:id="31" w:name="page32"/>
    <w:bookmarkEnd w:id="31"/>
    <w:p>
      <w:pPr>
        <w:ind w:left="10140"/>
        <w:spacing w:after="0"/>
        <w:rPr>
          <w:sz w:val="20"/>
          <w:szCs w:val="20"/>
          <w:color w:val="auto"/>
        </w:rPr>
      </w:pPr>
      <w:r>
        <w:rPr>
          <w:rFonts w:ascii="Times New Roman" w:cs="Times New Roman" w:eastAsia="Times New Roman" w:hAnsi="Times New Roman"/>
          <w:sz w:val="21"/>
          <w:szCs w:val="21"/>
          <w:b w:val="1"/>
          <w:bCs w:val="1"/>
          <w:i w:val="1"/>
          <w:i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Amended and Restated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by and between Talen Energy Corporation,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Terry Nutt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as of December 12,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Employee and the Company entered into an employment agreement, effective as of July 10, 2023 (the “</w:t>
      </w:r>
      <w:r>
        <w:rPr>
          <w:rFonts w:ascii="Times New Roman" w:cs="Times New Roman" w:eastAsia="Times New Roman" w:hAnsi="Times New Roman"/>
          <w:sz w:val="22"/>
          <w:szCs w:val="22"/>
          <w:u w:val="single" w:color="auto"/>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WHEREAS, Employee and the Company mutually desire that Employee continue to provide services to the Company and its affiliates on the terms set forth in this Agreement, which replaces and supersedes in its entirety the Prior Agreement as of the Effective Date.</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such employment and the mutual covenants and promises herein contained, and for other good and valuable consideration, the receipt and sufficiency of which are hereby acknowledged, the Company and Employee agree as follows:</w:t>
      </w:r>
    </w:p>
    <w:p>
      <w:pPr>
        <w:spacing w:after="0" w:line="169" w:lineRule="exact"/>
        <w:rPr>
          <w:sz w:val="20"/>
          <w:szCs w:val="20"/>
          <w:color w:val="auto"/>
        </w:rPr>
      </w:pPr>
    </w:p>
    <w:p>
      <w:pPr>
        <w:ind w:left="1040" w:hanging="384"/>
        <w:spacing w:after="0"/>
        <w:tabs>
          <w:tab w:leader="none" w:pos="1040"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806" w:val="left"/>
        </w:tabs>
        <w:numPr>
          <w:ilvl w:val="1"/>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Employment Period (as defined below), the Company shall continue to employ Employee, and Employee shall serve as President of the Company (and, for the avoidance of doubt, as of the Effective Date, shall no longer serve as Chief Financial Officer of the Company). In addition, if requested by the Company, Employee shall serve as an officer or member of the board of directors of any subsidiaries or affiliates of the Company without additional compensation.</w:t>
      </w:r>
    </w:p>
    <w:p>
      <w:pPr>
        <w:spacing w:after="0" w:line="176"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764" w:val="left"/>
        </w:tabs>
        <w:numPr>
          <w:ilvl w:val="1"/>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Employee expressly and irrevocably waives and releases any and all claims Employee may have to terminate Employee’s employment for Good Reason under the Prior Agreement and receive payments and benefits or otherwise be entitled to any other rights under any plan, program, agreement or other arrangement sponsored by the Company or any of its subsidiaries or affiliates, as the result of Employee’s role change from Chief Financial Officer under the Prior Agreement to President (as set forth in </w:t>
      </w:r>
      <w:r>
        <w:rPr>
          <w:rFonts w:ascii="Times New Roman" w:cs="Times New Roman" w:eastAsia="Times New Roman" w:hAnsi="Times New Roman"/>
          <w:sz w:val="22"/>
          <w:szCs w:val="22"/>
          <w:u w:val="single" w:color="auto"/>
          <w:color w:val="auto"/>
        </w:rPr>
        <w:t>Section 1(a)</w:t>
      </w:r>
      <w:r>
        <w:rPr>
          <w:rFonts w:ascii="Times New Roman" w:cs="Times New Roman" w:eastAsia="Times New Roman" w:hAnsi="Times New Roman"/>
          <w:sz w:val="22"/>
          <w:szCs w:val="22"/>
          <w:color w:val="auto"/>
        </w:rPr>
        <w:t xml:space="preserve"> above).</w:t>
      </w:r>
    </w:p>
    <w:p>
      <w:pPr>
        <w:spacing w:after="0" w:line="174"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Duties and Responsibilities of Employee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779" w:val="left"/>
        </w:tabs>
        <w:numPr>
          <w:ilvl w:val="1"/>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Employment Period, Employee shall actively engage in the business and affairs of the Company (together with its direct and indirect subsidiaries, the “</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as may be requested by the Chief Executive Officer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xml:space="preserve">”) of the Company from time to time, devote such amount of Employee’s business time and attention as is reasonably necessary to manage the business and affairs of the Company, which amount of time will constitute substantially all of Employee’s business time. Employee’s duties and responsibilities shall include those normally incidental to the position(s) identified in </w:t>
      </w:r>
      <w:r>
        <w:rPr>
          <w:rFonts w:ascii="Times New Roman" w:cs="Times New Roman" w:eastAsia="Times New Roman" w:hAnsi="Times New Roman"/>
          <w:sz w:val="22"/>
          <w:szCs w:val="22"/>
          <w:u w:val="single" w:color="auto"/>
          <w:color w:val="auto"/>
        </w:rPr>
        <w:t>Section (a)</w:t>
      </w:r>
      <w:r>
        <w:rPr>
          <w:rFonts w:ascii="Times New Roman" w:cs="Times New Roman" w:eastAsia="Times New Roman" w:hAnsi="Times New Roman"/>
          <w:sz w:val="22"/>
          <w:szCs w:val="22"/>
          <w:color w:val="auto"/>
        </w:rPr>
        <w:t xml:space="preserve">, as well as such additional duties as may be assigned to Employee by the CEO from time to time, which duties and responsibilities may include providing services to other members of the Company Group in addition to the Company. Employee may, without violating this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(i) as a passive investment, own publicly traded securities in such form or manner as will not</w:t>
      </w:r>
    </w:p>
    <w:p>
      <w:pPr>
        <w:sectPr>
          <w:pgSz w:w="11900" w:h="16838" w:orient="portrait"/>
          <w:cols w:equalWidth="0" w:num="1">
            <w:col w:w="11240"/>
          </w:cols>
          <w:pgMar w:left="320" w:top="120" w:right="339" w:bottom="1440" w:gutter="0" w:footer="0" w:header="0"/>
        </w:sectPr>
      </w:pPr>
    </w:p>
    <w:bookmarkStart w:id="32" w:name="page33"/>
    <w:bookmarkEnd w:id="32"/>
    <w:p>
      <w:pPr>
        <w:jc w:val="both"/>
        <w:spacing w:after="0" w:line="251" w:lineRule="auto"/>
        <w:rPr>
          <w:sz w:val="20"/>
          <w:szCs w:val="20"/>
          <w:color w:val="auto"/>
        </w:rPr>
      </w:pPr>
      <w:r>
        <w:rPr>
          <w:rFonts w:ascii="Times New Roman" w:cs="Times New Roman" w:eastAsia="Times New Roman" w:hAnsi="Times New Roman"/>
          <w:sz w:val="22"/>
          <w:szCs w:val="22"/>
          <w:color w:val="auto"/>
        </w:rPr>
        <w:t>require any services by Employee in the operation of the entities in which such securities are owned; (ii) engage in charitable and civic activities; and (iii) with the prior written consent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engage in other personal and passive investment activities, in each case,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w:t>
      </w:r>
    </w:p>
    <w:p>
      <w:pPr>
        <w:spacing w:after="0" w:line="181" w:lineRule="exact"/>
        <w:rPr>
          <w:sz w:val="20"/>
          <w:szCs w:val="20"/>
          <w:color w:val="auto"/>
        </w:rPr>
      </w:pPr>
    </w:p>
    <w:p>
      <w:pPr>
        <w:jc w:val="both"/>
        <w:ind w:firstLine="1304"/>
        <w:spacing w:after="0" w:line="250" w:lineRule="auto"/>
        <w:tabs>
          <w:tab w:leader="none" w:pos="1899" w:val="left"/>
        </w:tabs>
        <w:numPr>
          <w:ilvl w:val="2"/>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spacing w:after="0" w:line="179"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792" w:val="left"/>
        </w:tabs>
        <w:numPr>
          <w:ilvl w:val="2"/>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owes each member of the Company Group fiduciary duties, and the obligations described in this Agreement are in addition to, and not in lieu of, the obligations Employee owes each member of the Company Group under statutory and common law.</w:t>
      </w:r>
    </w:p>
    <w:p>
      <w:pPr>
        <w:spacing w:after="0" w:line="168"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1"/>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779" w:val="left"/>
        </w:tabs>
        <w:numPr>
          <w:ilvl w:val="2"/>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Base Salar</w:t>
      </w:r>
      <w:r>
        <w:rPr>
          <w:rFonts w:ascii="Times New Roman" w:cs="Times New Roman" w:eastAsia="Times New Roman" w:hAnsi="Times New Roman"/>
          <w:sz w:val="22"/>
          <w:szCs w:val="22"/>
          <w:color w:val="auto"/>
        </w:rPr>
        <w:t>y. During the Employment Period, the Company shall pay to Employee an annualized base salary of $925,000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010000"/>
        </w:rPr>
      </w:pPr>
    </w:p>
    <w:p>
      <w:pPr>
        <w:jc w:val="both"/>
        <w:ind w:firstLine="1304"/>
        <w:spacing w:after="0" w:line="260" w:lineRule="auto"/>
        <w:tabs>
          <w:tab w:leader="none" w:pos="1912" w:val="left"/>
        </w:tabs>
        <w:numPr>
          <w:ilvl w:val="2"/>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Beginning on January 1, 2026, Employee shall be eligible for bonus compensation for calendar year 2026 and each subsequent complete calendar year that Employee is employed by the Company hereunder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The target Annual Bonus for each such calendar year (the “</w:t>
      </w:r>
      <w:r>
        <w:rPr>
          <w:rFonts w:ascii="Times New Roman" w:cs="Times New Roman" w:eastAsia="Times New Roman" w:hAnsi="Times New Roman"/>
          <w:sz w:val="21"/>
          <w:szCs w:val="21"/>
          <w:u w:val="single" w:color="auto"/>
          <w:color w:val="auto"/>
        </w:rPr>
        <w:t>Bonus Year</w:t>
      </w:r>
      <w:r>
        <w:rPr>
          <w:rFonts w:ascii="Times New Roman" w:cs="Times New Roman" w:eastAsia="Times New Roman" w:hAnsi="Times New Roman"/>
          <w:sz w:val="21"/>
          <w:szCs w:val="21"/>
          <w:color w:val="auto"/>
        </w:rPr>
        <w:t>”) shall be 110% of Employee’s Base Salary in effect as of the first day of the Bonus Year (the “</w:t>
      </w:r>
      <w:r>
        <w:rPr>
          <w:rFonts w:ascii="Times New Roman" w:cs="Times New Roman" w:eastAsia="Times New Roman" w:hAnsi="Times New Roman"/>
          <w:sz w:val="21"/>
          <w:szCs w:val="21"/>
          <w:u w:val="single" w:color="auto"/>
          <w:color w:val="auto"/>
        </w:rPr>
        <w:t>Target Bonus</w:t>
      </w:r>
      <w:r>
        <w:rPr>
          <w:rFonts w:ascii="Times New Roman" w:cs="Times New Roman" w:eastAsia="Times New Roman" w:hAnsi="Times New Roman"/>
          <w:sz w:val="21"/>
          <w:szCs w:val="21"/>
          <w:color w:val="auto"/>
        </w:rPr>
        <w:t>”), with the actual Annual Bonus for a Bonus Year depending on the level of achievement of the performance targets as determined by the Compensation Committee for the Bonus Year. The performance targets that must be achieved in order to be eligible for certain bonus levels shall be established by the Compensation Committee annually, in its sole discretion, and communicated to Employee within the first one-hundred twenty</w:t>
      </w:r>
    </w:p>
    <w:p>
      <w:pPr>
        <w:spacing w:after="0" w:line="1" w:lineRule="exact"/>
        <w:rPr>
          <w:rFonts w:ascii="Times New Roman" w:cs="Times New Roman" w:eastAsia="Times New Roman" w:hAnsi="Times New Roman"/>
          <w:sz w:val="21"/>
          <w:szCs w:val="21"/>
          <w:color w:val="010000"/>
        </w:rPr>
      </w:pPr>
    </w:p>
    <w:p>
      <w:pPr>
        <w:ind w:left="520" w:hanging="512"/>
        <w:spacing w:after="0"/>
        <w:tabs>
          <w:tab w:leader="none" w:pos="5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the applicable Bonus Year. Each Annual Bonus,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33" w:name="page34"/>
    <w:bookmarkEnd w:id="33"/>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any, shall be paid as soon as administratively feasible after the Compensation Committee certifies whether the applicable performance targets for the applicable Bonus Year have been achieved, but in no event later than March 15 following the end of such Bonus Year. For the avoidance of doubt, Employee’s Annual Bonus for calendar year 2025 shall continue to be governed by the provisions of the Prior Agreement. Notwithstanding anything in this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to the contrary, but subject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no Annual Bonus, if any, nor any portion thereof, shall be payable for any Bonus Year unless Employee remains continuously employed by the Company from the Effective Date through the date on which such Annual Bonus is paid.</w:t>
      </w:r>
    </w:p>
    <w:p>
      <w:pPr>
        <w:spacing w:after="0" w:line="181" w:lineRule="exact"/>
        <w:rPr>
          <w:sz w:val="20"/>
          <w:szCs w:val="20"/>
          <w:color w:val="auto"/>
        </w:rPr>
      </w:pPr>
    </w:p>
    <w:p>
      <w:pPr>
        <w:ind w:left="1760" w:hanging="456"/>
        <w:spacing w:after="0"/>
        <w:tabs>
          <w:tab w:leader="none" w:pos="1760" w:val="left"/>
        </w:tabs>
        <w:numPr>
          <w:ilvl w:val="0"/>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Lon</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-Term Incentive Awards</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010000"/>
        </w:rPr>
      </w:pPr>
    </w:p>
    <w:p>
      <w:pPr>
        <w:jc w:val="both"/>
        <w:ind w:left="660" w:firstLine="1292"/>
        <w:spacing w:after="0" w:line="265" w:lineRule="auto"/>
        <w:tabs>
          <w:tab w:leader="none" w:pos="2389" w:val="left"/>
        </w:tabs>
        <w:numPr>
          <w:ilvl w:val="1"/>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Annual Grants</w:t>
      </w:r>
      <w:r>
        <w:rPr>
          <w:rFonts w:ascii="Times New Roman" w:cs="Times New Roman" w:eastAsia="Times New Roman" w:hAnsi="Times New Roman"/>
          <w:sz w:val="21"/>
          <w:szCs w:val="21"/>
          <w:color w:val="auto"/>
        </w:rPr>
        <w:t>. Provided that Employee is employed by the Company on the applicable date of grant,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Employee shall be eligible to receive an annual grant under the Talen Energy Corporation 2023 Equity Incentive Plan or any applicable successor plan (the “</w:t>
      </w:r>
      <w:r>
        <w:rPr>
          <w:rFonts w:ascii="Times New Roman" w:cs="Times New Roman" w:eastAsia="Times New Roman" w:hAnsi="Times New Roman"/>
          <w:sz w:val="21"/>
          <w:szCs w:val="21"/>
          <w:u w:val="single" w:color="auto"/>
          <w:color w:val="auto"/>
        </w:rPr>
        <w:t>LTIP</w:t>
      </w:r>
      <w:r>
        <w:rPr>
          <w:rFonts w:ascii="Times New Roman" w:cs="Times New Roman" w:eastAsia="Times New Roman" w:hAnsi="Times New Roman"/>
          <w:sz w:val="21"/>
          <w:szCs w:val="21"/>
          <w:color w:val="auto"/>
        </w:rPr>
        <w:t>”) with a grant date target value not less than 600% of Employee’s Base Salary as in effect on the applicable date of grant of such award on such terms and conditions as the Board and the Compensation Committee shall determine from time to time (collectively, the “</w:t>
      </w:r>
      <w:r>
        <w:rPr>
          <w:rFonts w:ascii="Times New Roman" w:cs="Times New Roman" w:eastAsia="Times New Roman" w:hAnsi="Times New Roman"/>
          <w:sz w:val="21"/>
          <w:szCs w:val="21"/>
          <w:u w:val="single" w:color="auto"/>
          <w:color w:val="auto"/>
        </w:rPr>
        <w:t>LTIP Awards</w:t>
      </w:r>
      <w:r>
        <w:rPr>
          <w:rFonts w:ascii="Times New Roman" w:cs="Times New Roman" w:eastAsia="Times New Roman" w:hAnsi="Times New Roman"/>
          <w:sz w:val="21"/>
          <w:szCs w:val="21"/>
          <w:color w:val="auto"/>
        </w:rPr>
        <w:t xml:space="preserve">”). All LTIP Awards granted to Employee under the LTIP shall be subject to and governed by the terms and provisions of the LTIP as in effect from time to time and the award agreements evidencing such awards. Employee’s annual grant for calendar year 2026 shall, subject to the approval of the Board or the Compensation Committee, be on substantially the terms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161" w:lineRule="exact"/>
        <w:rPr>
          <w:rFonts w:ascii="Times New Roman" w:cs="Times New Roman" w:eastAsia="Times New Roman" w:hAnsi="Times New Roman"/>
          <w:sz w:val="21"/>
          <w:szCs w:val="21"/>
          <w:color w:val="010000"/>
        </w:rPr>
      </w:pPr>
    </w:p>
    <w:p>
      <w:pPr>
        <w:jc w:val="both"/>
        <w:ind w:left="660" w:firstLine="1292"/>
        <w:spacing w:after="0" w:line="249" w:lineRule="auto"/>
        <w:tabs>
          <w:tab w:leader="none" w:pos="2544" w:val="left"/>
        </w:tabs>
        <w:numPr>
          <w:ilvl w:val="1"/>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Cash-Settlement; Stock Ownership Guidelines</w:t>
      </w:r>
      <w:r>
        <w:rPr>
          <w:rFonts w:ascii="Times New Roman" w:cs="Times New Roman" w:eastAsia="Times New Roman" w:hAnsi="Times New Roman"/>
          <w:sz w:val="22"/>
          <w:szCs w:val="22"/>
          <w:color w:val="auto"/>
        </w:rPr>
        <w:t>. Notwithstanding anything in the applicable award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to the contrary, if, on the date of vesting of any performance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other than the Emergence Grants (as defined below), Employee holds Company Common Stock (as defined in the LTIP) in excess of two hundred percent (200%) of the stock ownership requirements applicable to Employee under the Company’s Stock Ownership Guidelines, adopted March 14, 2024, and as updated from time to time, fifty percent (50%) of the net after-tax value of such PSUs will be settled in cash and the remaining portion will be settled in Company Common Stock, with such settlement otherwise subject to the terms of the applicable award agreement, subject to the Compensation Committee’s ability to modify the portion settled in cash to the extent necessitated by a Liquidity Constraint, as defined below.</w:t>
      </w:r>
    </w:p>
    <w:p>
      <w:pPr>
        <w:spacing w:after="0" w:line="181" w:lineRule="exact"/>
        <w:rPr>
          <w:rFonts w:ascii="Times New Roman" w:cs="Times New Roman" w:eastAsia="Times New Roman" w:hAnsi="Times New Roman"/>
          <w:sz w:val="22"/>
          <w:szCs w:val="22"/>
          <w:color w:val="010000"/>
        </w:rPr>
      </w:pPr>
    </w:p>
    <w:p>
      <w:pPr>
        <w:jc w:val="both"/>
        <w:ind w:left="660" w:firstLine="1292"/>
        <w:spacing w:after="0" w:line="250" w:lineRule="auto"/>
        <w:tabs>
          <w:tab w:leader="none" w:pos="2671" w:val="left"/>
        </w:tabs>
        <w:numPr>
          <w:ilvl w:val="1"/>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Settlement of Emergence Grants; Lock-Up</w:t>
      </w:r>
      <w:r>
        <w:rPr>
          <w:rFonts w:ascii="Times New Roman" w:cs="Times New Roman" w:eastAsia="Times New Roman" w:hAnsi="Times New Roman"/>
          <w:sz w:val="22"/>
          <w:szCs w:val="22"/>
          <w:color w:val="auto"/>
        </w:rPr>
        <w:t>. With respect to Employee’s PSUs and time-based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that were granted in 2023 and scheduled to vest and settle in calendar year 2026 (the “</w:t>
      </w:r>
      <w:r>
        <w:rPr>
          <w:rFonts w:ascii="Times New Roman" w:cs="Times New Roman" w:eastAsia="Times New Roman" w:hAnsi="Times New Roman"/>
          <w:sz w:val="22"/>
          <w:szCs w:val="22"/>
          <w:u w:val="single" w:color="auto"/>
          <w:color w:val="auto"/>
        </w:rPr>
        <w:t>Emergence Grants</w:t>
      </w:r>
      <w:r>
        <w:rPr>
          <w:rFonts w:ascii="Times New Roman" w:cs="Times New Roman" w:eastAsia="Times New Roman" w:hAnsi="Times New Roman"/>
          <w:sz w:val="22"/>
          <w:szCs w:val="22"/>
          <w:color w:val="auto"/>
        </w:rPr>
        <w:t>”), Employee and the Company acknowledge and agree that a portion of the Emergence Grants will be settled in cash in an amount equal to sixty percent (60%) of the net after-tax value of each such award (the “</w:t>
      </w:r>
      <w:r>
        <w:rPr>
          <w:rFonts w:ascii="Times New Roman" w:cs="Times New Roman" w:eastAsia="Times New Roman" w:hAnsi="Times New Roman"/>
          <w:sz w:val="22"/>
          <w:szCs w:val="22"/>
          <w:u w:val="single" w:color="auto"/>
          <w:color w:val="auto"/>
        </w:rPr>
        <w:t>Cash-Settled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Portion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Fair Market Value (as defined in the LTIP) of a share of Company Common Stock on the date of vesting of the Emergence Grants exceeds $400.00, the Cash-Settled Portion of the Emergence Grants will be no greater cash value in the aggregate than the Cash-Settled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34" w:name="page35"/>
    <w:bookmarkEnd w:id="34"/>
    <w:p>
      <w:pPr>
        <w:jc w:val="both"/>
        <w:ind w:left="660"/>
        <w:spacing w:after="0" w:line="247" w:lineRule="auto"/>
        <w:rPr>
          <w:sz w:val="20"/>
          <w:szCs w:val="20"/>
          <w:color w:val="auto"/>
        </w:rPr>
      </w:pPr>
      <w:r>
        <w:rPr>
          <w:rFonts w:ascii="Times New Roman" w:cs="Times New Roman" w:eastAsia="Times New Roman" w:hAnsi="Times New Roman"/>
          <w:sz w:val="22"/>
          <w:szCs w:val="22"/>
          <w:color w:val="auto"/>
        </w:rPr>
        <w:t>Portion that would result if the Fair Market Value of a share of Company Common Stock were equal to $400.00. In consideration of the foregoing, Employee agrees not to sell, contract to sell, grant any option to purchase, transfer the economic risk of ownership in, make any short sale of, pledge or otherwise transfer or dispose of, any interest in any shares of Company Common Stock received upon settlement of the Emergence Grants (each, an “</w:t>
      </w:r>
      <w:r>
        <w:rPr>
          <w:rFonts w:ascii="Times New Roman" w:cs="Times New Roman" w:eastAsia="Times New Roman" w:hAnsi="Times New Roman"/>
          <w:sz w:val="22"/>
          <w:szCs w:val="22"/>
          <w:u w:val="single" w:color="auto"/>
          <w:color w:val="auto"/>
        </w:rPr>
        <w:t>Award Share</w:t>
      </w:r>
      <w:r>
        <w:rPr>
          <w:rFonts w:ascii="Times New Roman" w:cs="Times New Roman" w:eastAsia="Times New Roman" w:hAnsi="Times New Roman"/>
          <w:sz w:val="22"/>
          <w:szCs w:val="22"/>
          <w:color w:val="auto"/>
        </w:rPr>
        <w:t>”) until November 13, 2026 (the “</w:t>
      </w:r>
      <w:r>
        <w:rPr>
          <w:rFonts w:ascii="Times New Roman" w:cs="Times New Roman" w:eastAsia="Times New Roman" w:hAnsi="Times New Roman"/>
          <w:sz w:val="22"/>
          <w:szCs w:val="22"/>
          <w:u w:val="single" w:color="auto"/>
          <w:color w:val="auto"/>
        </w:rPr>
        <w:t>Lock-Up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paragraph shall not prohibit Employee from, during the last ninety (90) days of the Lock-Up Period, establishing a trading plan that meets the requirements of Rule 10b5-1 under the Securities Exchange Act of 1934, as amended, so long as no trades are executed pursuant to such plan during the Lock-Up Period. Employee acknowledges and agrees that any Award Share will be subject to legends, stop transfer orders or any other similar restriction that the Company deems reasonably necessary to effectuate the provisions set forth in this </w:t>
      </w:r>
      <w:r>
        <w:rPr>
          <w:rFonts w:ascii="Times New Roman" w:cs="Times New Roman" w:eastAsia="Times New Roman" w:hAnsi="Times New Roman"/>
          <w:sz w:val="22"/>
          <w:szCs w:val="22"/>
          <w:u w:val="single" w:color="auto"/>
          <w:color w:val="auto"/>
        </w:rPr>
        <w:t>Section 3(c)(iii)</w:t>
      </w:r>
      <w:r>
        <w:rPr>
          <w:rFonts w:ascii="Times New Roman" w:cs="Times New Roman" w:eastAsia="Times New Roman" w:hAnsi="Times New Roman"/>
          <w:sz w:val="22"/>
          <w:szCs w:val="22"/>
          <w:color w:val="auto"/>
        </w:rPr>
        <w:t>. Notwithstanding the foregoing, if the Compensation Committee reasonably determines that the settlement of all or a portion of the Cash-Settled Portion of the Emergence Grants in cash would materially and adversely affect the Company (a “</w:t>
      </w:r>
      <w:r>
        <w:rPr>
          <w:rFonts w:ascii="Times New Roman" w:cs="Times New Roman" w:eastAsia="Times New Roman" w:hAnsi="Times New Roman"/>
          <w:sz w:val="22"/>
          <w:szCs w:val="22"/>
          <w:u w:val="single" w:color="auto"/>
          <w:color w:val="auto"/>
        </w:rPr>
        <w:t>Liquidity Constraint</w:t>
      </w:r>
      <w:r>
        <w:rPr>
          <w:rFonts w:ascii="Times New Roman" w:cs="Times New Roman" w:eastAsia="Times New Roman" w:hAnsi="Times New Roman"/>
          <w:sz w:val="22"/>
          <w:szCs w:val="22"/>
          <w:color w:val="auto"/>
        </w:rPr>
        <w:t xml:space="preserve">”), the Compensation Committee may elect to reduce the Cash-Settled Portion to the extent necessary to address the Liquidity Constraint, in which case the Lock-Up Period will be reduced in the same proportion by which the Cash-Settled Portion was reduced. By way of example only, if the Compensation Committee determines, in accordance with the previous sentence, that the Cash-Settled Portion will be reduced to one-half (1/2) of the Cash-Settled Portion that would otherwise result from this </w:t>
      </w:r>
      <w:r>
        <w:rPr>
          <w:rFonts w:ascii="Times New Roman" w:cs="Times New Roman" w:eastAsia="Times New Roman" w:hAnsi="Times New Roman"/>
          <w:sz w:val="22"/>
          <w:szCs w:val="22"/>
          <w:u w:val="single" w:color="auto"/>
          <w:color w:val="auto"/>
        </w:rPr>
        <w:t>Section 3(c)(iii)</w:t>
      </w:r>
      <w:r>
        <w:rPr>
          <w:rFonts w:ascii="Times New Roman" w:cs="Times New Roman" w:eastAsia="Times New Roman" w:hAnsi="Times New Roman"/>
          <w:sz w:val="22"/>
          <w:szCs w:val="22"/>
          <w:color w:val="auto"/>
        </w:rPr>
        <w:t>, the Lock-Up Period applicable to the Award Shares shall be reduced to 90 days (i.e., one-half (1/2) of 180 days).</w:t>
      </w:r>
    </w:p>
    <w:p>
      <w:pPr>
        <w:spacing w:after="0" w:line="187" w:lineRule="exact"/>
        <w:rPr>
          <w:sz w:val="20"/>
          <w:szCs w:val="20"/>
          <w:color w:val="auto"/>
        </w:rPr>
      </w:pPr>
    </w:p>
    <w:p>
      <w:pPr>
        <w:jc w:val="both"/>
        <w:ind w:firstLine="656"/>
        <w:spacing w:after="0" w:line="251" w:lineRule="auto"/>
        <w:tabs>
          <w:tab w:leader="none" w:pos="1039"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Term of Employment</w:t>
      </w:r>
      <w:r>
        <w:rPr>
          <w:rFonts w:ascii="Times New Roman" w:cs="Times New Roman" w:eastAsia="Times New Roman" w:hAnsi="Times New Roman"/>
          <w:sz w:val="22"/>
          <w:szCs w:val="22"/>
          <w:color w:val="auto"/>
        </w:rPr>
        <w:t>. The term of Employee’s employment under this Agreement shall be for the period beginning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Effective Date and ending on February 28, 2027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Thereafter, the term of this Agreement will automatically extend, on the same terms, for successive one-year periods, unless either party provides written notice of non-extension at least ninety (90) days prior to the end of the Term or any extension thereof. Notwithstanding any other provision of this Agreement, Employee’s employment pursuant to this Agreement may be terminated at any time in accordance with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010000"/>
        </w:rPr>
      </w:pPr>
    </w:p>
    <w:p>
      <w:pPr>
        <w:jc w:val="both"/>
        <w:ind w:firstLine="656"/>
        <w:spacing w:after="0" w:line="250" w:lineRule="auto"/>
        <w:tabs>
          <w:tab w:leader="none" w:pos="1066"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Business Expenses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the Company shall reimburse Employee for Employee’s reasonable 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35" w:name="page36"/>
    <w:bookmarkEnd w:id="35"/>
    <w:p>
      <w:pPr>
        <w:ind w:left="1040" w:hanging="384"/>
        <w:spacing w:after="0"/>
        <w:tabs>
          <w:tab w:leader="none" w:pos="1040"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846" w:val="left"/>
        </w:tabs>
        <w:numPr>
          <w:ilvl w:val="1"/>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During the Employment Period, Employee shall continue to be eligible to participate in the same benefit plans and programs (including vacation and paid time off) in which other similarly situated Company employees are eligible to participate, subject to the terms and conditions of the applicable plans and programs in effect from time to time. The Company shall not, however, by reason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be obligated to institute, maintain, or refrain from changing, amending, or discontinuing, any such plan or policy, so long as such changes are similarly applicable to similarly situated Company employees generally.</w:t>
      </w:r>
    </w:p>
    <w:p>
      <w:pPr>
        <w:spacing w:after="0" w:line="181"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2034" w:val="left"/>
        </w:tabs>
        <w:numPr>
          <w:ilvl w:val="1"/>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cover Employee under directors’ and officers’ liability insurance through the Employment Period, and, while potential liability exists, after the termination of Employee’s employment with the Company, on substantially similar terms as provided to other executive officers of the Company.</w:t>
      </w:r>
    </w:p>
    <w:p>
      <w:pPr>
        <w:spacing w:after="0" w:line="167" w:lineRule="exact"/>
        <w:rPr>
          <w:rFonts w:ascii="Times New Roman" w:cs="Times New Roman" w:eastAsia="Times New Roman" w:hAnsi="Times New Roman"/>
          <w:sz w:val="22"/>
          <w:szCs w:val="22"/>
          <w:color w:val="010000"/>
        </w:rPr>
      </w:pPr>
    </w:p>
    <w:p>
      <w:pPr>
        <w:ind w:left="1800" w:hanging="496"/>
        <w:spacing w:after="0"/>
        <w:tabs>
          <w:tab w:leader="none" w:pos="1800" w:val="left"/>
        </w:tabs>
        <w:numPr>
          <w:ilvl w:val="1"/>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reimburse Employee up to $5,000 for legal fees incurred in connection with the review</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of this Agreement.</w:t>
      </w:r>
    </w:p>
    <w:p>
      <w:pPr>
        <w:spacing w:after="0" w:line="191"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833" w:val="left"/>
        </w:tabs>
        <w:numPr>
          <w:ilvl w:val="1"/>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Company’s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Terminate Employee’s Employment for Cause</w:t>
      </w:r>
      <w:r>
        <w:rPr>
          <w:rFonts w:ascii="Times New Roman" w:cs="Times New Roman" w:eastAsia="Times New Roman" w:hAnsi="Times New Roman"/>
          <w:sz w:val="22"/>
          <w:szCs w:val="22"/>
          <w:color w:val="auto"/>
        </w:rPr>
        <w:t>. The Company shall have the right to terminate Employee’s employment hereunder at any time for Cause.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Employee’s commission of an act or omission, or Employee causing the Company or any other member of the Company Group to commit an act or omission, that constitutes:</w:t>
      </w:r>
    </w:p>
    <w:p>
      <w:pPr>
        <w:spacing w:after="0" w:line="176" w:lineRule="exact"/>
        <w:rPr>
          <w:rFonts w:ascii="Times New Roman" w:cs="Times New Roman" w:eastAsia="Times New Roman" w:hAnsi="Times New Roman"/>
          <w:sz w:val="22"/>
          <w:szCs w:val="22"/>
          <w:color w:val="010000"/>
        </w:rPr>
      </w:pPr>
    </w:p>
    <w:p>
      <w:pPr>
        <w:ind w:left="2380" w:hanging="428"/>
        <w:spacing w:after="0"/>
        <w:tabs>
          <w:tab w:leader="none" w:pos="2380" w:val="left"/>
        </w:tabs>
        <w:numPr>
          <w:ilvl w:val="2"/>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fraud or misconduct;</w:t>
      </w:r>
    </w:p>
    <w:p>
      <w:pPr>
        <w:spacing w:after="0" w:line="219" w:lineRule="exact"/>
        <w:rPr>
          <w:rFonts w:ascii="Times New Roman" w:cs="Times New Roman" w:eastAsia="Times New Roman" w:hAnsi="Times New Roman"/>
          <w:sz w:val="22"/>
          <w:szCs w:val="22"/>
          <w:color w:val="010000"/>
        </w:rPr>
      </w:pPr>
    </w:p>
    <w:p>
      <w:pPr>
        <w:jc w:val="both"/>
        <w:ind w:left="660" w:right="20" w:firstLine="1292"/>
        <w:spacing w:after="0" w:line="263" w:lineRule="auto"/>
        <w:tabs>
          <w:tab w:leader="none" w:pos="2476" w:val="left"/>
        </w:tabs>
        <w:numPr>
          <w:ilvl w:val="2"/>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spacing w:after="0" w:line="167"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563" w:val="left"/>
        </w:tabs>
        <w:numPr>
          <w:ilvl w:val="2"/>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material breach of this Agreement or any other written agreement between Employee and one or more members of the Company Group, including Employee’s material breach of any representation, warranty or covenant made under any such agreement;</w:t>
      </w:r>
    </w:p>
    <w:p>
      <w:pPr>
        <w:spacing w:after="0" w:line="186"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538" w:val="left"/>
        </w:tabs>
        <w:numPr>
          <w:ilvl w:val="2"/>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w:t>
      </w:r>
    </w:p>
    <w:p>
      <w:pPr>
        <w:spacing w:after="0" w:line="172"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464" w:val="left"/>
        </w:tabs>
        <w:numPr>
          <w:ilvl w:val="2"/>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breach of his duty of loyalty to the Company or violation of the Company’s policies (to the extent such policies have been clearly communicated in writing to Employee), including the Company’s code of conduct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8" w:right="339" w:bottom="1440" w:gutter="0" w:footer="0" w:header="0"/>
        </w:sectPr>
      </w:pPr>
    </w:p>
    <w:bookmarkStart w:id="36" w:name="page37"/>
    <w:bookmarkEnd w:id="36"/>
    <w:p>
      <w:pPr>
        <w:ind w:left="660"/>
        <w:spacing w:after="0" w:line="271" w:lineRule="auto"/>
        <w:rPr>
          <w:sz w:val="20"/>
          <w:szCs w:val="20"/>
          <w:color w:val="auto"/>
        </w:rPr>
      </w:pPr>
      <w:r>
        <w:rPr>
          <w:rFonts w:ascii="Times New Roman" w:cs="Times New Roman" w:eastAsia="Times New Roman" w:hAnsi="Times New Roman"/>
          <w:sz w:val="22"/>
          <w:szCs w:val="22"/>
          <w:color w:val="auto"/>
        </w:rPr>
        <w:t>business ethics (or similar policies), anti-harassment policy, anti-retaliation, or policies related to age, sex or other prohibited discrimination in the workplace; or</w:t>
      </w:r>
    </w:p>
    <w:p>
      <w:pPr>
        <w:spacing w:after="0" w:line="154" w:lineRule="exact"/>
        <w:rPr>
          <w:sz w:val="20"/>
          <w:szCs w:val="20"/>
          <w:color w:val="auto"/>
        </w:rPr>
      </w:pPr>
    </w:p>
    <w:p>
      <w:pPr>
        <w:ind w:left="2480" w:hanging="528"/>
        <w:spacing w:after="0"/>
        <w:tabs>
          <w:tab w:leader="none" w:pos="2480"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Employee’s conviction or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 or crime involving moral turpitude.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Notwithstanding the foregoing, no determination of “Cause” may be made pursuant to </w:t>
      </w:r>
      <w:r>
        <w:rPr>
          <w:rFonts w:ascii="Times New Roman" w:cs="Times New Roman" w:eastAsia="Times New Roman" w:hAnsi="Times New Roman"/>
          <w:sz w:val="22"/>
          <w:szCs w:val="22"/>
          <w:u w:val="single" w:color="auto"/>
          <w:color w:val="auto"/>
        </w:rPr>
        <w:t>Sections 7(a)(ii)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unless</w:t>
      </w:r>
    </w:p>
    <w:p>
      <w:pPr>
        <w:spacing w:after="0" w:line="28" w:lineRule="exact"/>
        <w:rPr>
          <w:sz w:val="20"/>
          <w:szCs w:val="20"/>
          <w:color w:val="auto"/>
        </w:rPr>
      </w:pPr>
    </w:p>
    <w:p>
      <w:pPr>
        <w:jc w:val="both"/>
        <w:ind w:firstLine="8"/>
        <w:spacing w:after="0" w:line="245" w:lineRule="auto"/>
        <w:tabs>
          <w:tab w:leader="none" w:pos="31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Employee has been given written notice by the Board describing the specific alleged action(s) or omission(s) that constitute “Cause,” and (2) Employee has failed to cure such acts or omissions within thirty (30) days of such notice from the Board. Upon the termination of Employee’s employment pursuant to this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Times New Roman" w:cs="Times New Roman" w:eastAsia="Times New Roman" w:hAnsi="Times New Roman"/>
          <w:sz w:val="22"/>
          <w:szCs w:val="22"/>
          <w:u w:val="single" w:color="auto"/>
          <w:color w:val="auto"/>
        </w:rPr>
        <w:t>Sections 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6(c)</w:t>
      </w:r>
      <w:r>
        <w:rPr>
          <w:rFonts w:ascii="Times New Roman" w:cs="Times New Roman" w:eastAsia="Times New Roman" w:hAnsi="Times New Roman"/>
          <w:sz w:val="22"/>
          <w:szCs w:val="22"/>
          <w:color w:val="auto"/>
        </w:rPr>
        <w:t xml:space="preserve">, and (C) benefits to which Employee is entitled under the terms of any applicable benefit plan or program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6(a)</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Accrued Benefits</w:t>
      </w:r>
      <w:r>
        <w:rPr>
          <w:rFonts w:ascii="Times New Roman" w:cs="Times New Roman" w:eastAsia="Times New Roman" w:hAnsi="Times New Roman"/>
          <w:sz w:val="22"/>
          <w:szCs w:val="22"/>
          <w:color w:val="auto"/>
        </w:rPr>
        <w:t xml:space="preserve">”). In addition, subject to any limitation under applicable law, previously paid compensation pursuant to </w:t>
      </w:r>
      <w:r>
        <w:rPr>
          <w:rFonts w:ascii="Times New Roman" w:cs="Times New Roman" w:eastAsia="Times New Roman" w:hAnsi="Times New Roman"/>
          <w:sz w:val="22"/>
          <w:szCs w:val="22"/>
          <w:u w:val="single" w:color="auto"/>
          <w:color w:val="auto"/>
        </w:rPr>
        <w:t>Sections 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3(c)</w:t>
      </w:r>
      <w:r>
        <w:rPr>
          <w:rFonts w:ascii="Times New Roman" w:cs="Times New Roman" w:eastAsia="Times New Roman" w:hAnsi="Times New Roman"/>
          <w:sz w:val="22"/>
          <w:szCs w:val="22"/>
          <w:color w:val="auto"/>
        </w:rPr>
        <w:t xml:space="preserve"> shall be subject to clawback or forfeiture and cancellation at the discretion of the Compensation Committee in the event of a termination of Employee’s employment for Cause.</w:t>
      </w:r>
    </w:p>
    <w:p>
      <w:pPr>
        <w:spacing w:after="0" w:line="189" w:lineRule="exact"/>
        <w:rPr>
          <w:rFonts w:ascii="Times New Roman" w:cs="Times New Roman" w:eastAsia="Times New Roman" w:hAnsi="Times New Roman"/>
          <w:sz w:val="22"/>
          <w:szCs w:val="22"/>
          <w:color w:val="auto"/>
        </w:rPr>
      </w:pPr>
    </w:p>
    <w:p>
      <w:pPr>
        <w:jc w:val="both"/>
        <w:ind w:firstLine="1304"/>
        <w:spacing w:after="0" w:line="268" w:lineRule="auto"/>
        <w:tabs>
          <w:tab w:leader="none" w:pos="1804" w:val="left"/>
        </w:tabs>
        <w:numPr>
          <w:ilvl w:val="1"/>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Company’s Ri</w:t>
      </w:r>
      <w:r>
        <w:rPr>
          <w:rFonts w:ascii="Times New Roman" w:cs="Times New Roman" w:eastAsia="Times New Roman" w:hAnsi="Times New Roman"/>
          <w:sz w:val="21"/>
          <w:szCs w:val="21"/>
          <w:color w:val="auto"/>
        </w:rPr>
        <w:t>g</w:t>
      </w:r>
      <w:r>
        <w:rPr>
          <w:rFonts w:ascii="Times New Roman" w:cs="Times New Roman" w:eastAsia="Times New Roman" w:hAnsi="Times New Roman"/>
          <w:sz w:val="21"/>
          <w:szCs w:val="21"/>
          <w:u w:val="single" w:color="auto"/>
          <w:color w:val="auto"/>
        </w:rPr>
        <w:t>ht to Terminate for Convenience or for Non-Renewal of Term</w:t>
      </w:r>
      <w:r>
        <w:rPr>
          <w:rFonts w:ascii="Times New Roman" w:cs="Times New Roman" w:eastAsia="Times New Roman" w:hAnsi="Times New Roman"/>
          <w:sz w:val="21"/>
          <w:szCs w:val="21"/>
          <w:color w:val="auto"/>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 xml:space="preserve">. The Company shall also have the right to terminate Employee by non-renewal of the Term or any extension thereof upon ninety (90)-days written notice to Employee, in which event Employee shall receive the compensation and benefits described in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w:t>
      </w:r>
    </w:p>
    <w:p>
      <w:pPr>
        <w:spacing w:after="0" w:line="163" w:lineRule="exact"/>
        <w:rPr>
          <w:rFonts w:ascii="Times New Roman" w:cs="Times New Roman" w:eastAsia="Times New Roman" w:hAnsi="Times New Roman"/>
          <w:sz w:val="21"/>
          <w:szCs w:val="21"/>
          <w:color w:val="010000"/>
        </w:rPr>
      </w:pPr>
    </w:p>
    <w:p>
      <w:pPr>
        <w:jc w:val="both"/>
        <w:ind w:firstLine="1304"/>
        <w:spacing w:after="0" w:line="256" w:lineRule="auto"/>
        <w:tabs>
          <w:tab w:leader="none" w:pos="1833" w:val="left"/>
        </w:tabs>
        <w:numPr>
          <w:ilvl w:val="1"/>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Employee’s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Terminate for Good Reason</w:t>
      </w:r>
      <w:r>
        <w:rPr>
          <w:rFonts w:ascii="Times New Roman" w:cs="Times New Roman" w:eastAsia="Times New Roman" w:hAnsi="Times New Roman"/>
          <w:sz w:val="22"/>
          <w:szCs w:val="22"/>
          <w:color w:val="auto"/>
        </w:rPr>
        <w:t xml:space="preserve">. Employee shall have the right to terminate Employee’s employment with the Company at any time for Good Reason, in which event Employee shall receive the compensation and benefits described in </w:t>
      </w:r>
      <w:r>
        <w:rPr>
          <w:rFonts w:ascii="Times New Roman" w:cs="Times New Roman" w:eastAsia="Times New Roman" w:hAnsi="Times New Roman"/>
          <w:sz w:val="22"/>
          <w:szCs w:val="22"/>
          <w:u w:val="single" w:color="auto"/>
          <w:color w:val="auto"/>
        </w:rPr>
        <w:t>Section 7(f)</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any of the following occurring without Employee’s consent:</w:t>
      </w:r>
    </w:p>
    <w:p>
      <w:pPr>
        <w:spacing w:after="0" w:line="176" w:lineRule="exact"/>
        <w:rPr>
          <w:rFonts w:ascii="Times New Roman" w:cs="Times New Roman" w:eastAsia="Times New Roman" w:hAnsi="Times New Roman"/>
          <w:sz w:val="22"/>
          <w:szCs w:val="22"/>
          <w:color w:val="010000"/>
        </w:rPr>
      </w:pPr>
    </w:p>
    <w:p>
      <w:pPr>
        <w:ind w:left="2620" w:hanging="668"/>
        <w:spacing w:after="0"/>
        <w:tabs>
          <w:tab w:leader="none" w:pos="2620" w:val="left"/>
        </w:tabs>
        <w:numPr>
          <w:ilvl w:val="2"/>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adverse change in Employee’s title, duties or responsibilities (including reporting</w:t>
      </w:r>
    </w:p>
    <w:p>
      <w:pPr>
        <w:spacing w:after="0" w:line="27" w:lineRule="exact"/>
        <w:rPr>
          <w:rFonts w:ascii="Times New Roman" w:cs="Times New Roman" w:eastAsia="Times New Roman" w:hAnsi="Times New Roman"/>
          <w:sz w:val="22"/>
          <w:szCs w:val="22"/>
          <w:color w:val="010000"/>
        </w:rPr>
      </w:pP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responsibilities);</w:t>
      </w:r>
    </w:p>
    <w:p>
      <w:pPr>
        <w:spacing w:after="0" w:line="209" w:lineRule="exact"/>
        <w:rPr>
          <w:rFonts w:ascii="Times New Roman" w:cs="Times New Roman" w:eastAsia="Times New Roman" w:hAnsi="Times New Roman"/>
          <w:sz w:val="22"/>
          <w:szCs w:val="22"/>
          <w:color w:val="010000"/>
        </w:rPr>
      </w:pPr>
    </w:p>
    <w:p>
      <w:pPr>
        <w:ind w:left="2440" w:hanging="488"/>
        <w:spacing w:after="0"/>
        <w:tabs>
          <w:tab w:leader="none" w:pos="2440" w:val="left"/>
        </w:tabs>
        <w:numPr>
          <w:ilvl w:val="2"/>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reduction in Employee’s Base Salary;</w:t>
      </w:r>
    </w:p>
    <w:p>
      <w:pPr>
        <w:spacing w:after="0" w:line="219" w:lineRule="exact"/>
        <w:rPr>
          <w:rFonts w:ascii="Times New Roman" w:cs="Times New Roman" w:eastAsia="Times New Roman" w:hAnsi="Times New Roman"/>
          <w:sz w:val="22"/>
          <w:szCs w:val="22"/>
          <w:color w:val="010000"/>
        </w:rPr>
      </w:pPr>
    </w:p>
    <w:p>
      <w:pPr>
        <w:ind w:left="660" w:right="20" w:firstLine="1292"/>
        <w:spacing w:after="0" w:line="271" w:lineRule="auto"/>
        <w:tabs>
          <w:tab w:leader="none" w:pos="2604" w:val="left"/>
        </w:tabs>
        <w:numPr>
          <w:ilvl w:val="2"/>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relocation of Employee’s primary work location to a distance of more than 50 miles from the Houston, Texas metropolitan area; or</w:t>
      </w:r>
    </w:p>
    <w:p>
      <w:pPr>
        <w:spacing w:after="0" w:line="157" w:lineRule="exact"/>
        <w:rPr>
          <w:rFonts w:ascii="Times New Roman" w:cs="Times New Roman" w:eastAsia="Times New Roman" w:hAnsi="Times New Roman"/>
          <w:sz w:val="22"/>
          <w:szCs w:val="22"/>
          <w:color w:val="010000"/>
        </w:rPr>
      </w:pPr>
    </w:p>
    <w:p>
      <w:pPr>
        <w:ind w:left="2480" w:hanging="528"/>
        <w:spacing w:after="0"/>
        <w:tabs>
          <w:tab w:leader="none" w:pos="2480" w:val="left"/>
        </w:tabs>
        <w:numPr>
          <w:ilvl w:val="2"/>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breach by the Company of any of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22"/>
          <w:szCs w:val="22"/>
          <w:color w:val="auto"/>
        </w:rPr>
        <w:t>The Company and Employee agree that Good Reason shall not exist unless and until Employee provides the Company with written notice of the acts alleged to constitute Good Reason within ninety (90) days of Employee’s knowledge of the occurrence of such event, and Company fails to cure such acts within thirty (30) days of receipt of such notice. Employee must terminate employment within sixty (60) days following the expiration of such cure period for the termination to be on account of Good Reason.</w:t>
      </w:r>
    </w:p>
    <w:p>
      <w:pPr>
        <w:spacing w:after="0" w:line="179" w:lineRule="exact"/>
        <w:rPr>
          <w:sz w:val="20"/>
          <w:szCs w:val="20"/>
          <w:color w:val="auto"/>
        </w:rPr>
      </w:pPr>
    </w:p>
    <w:p>
      <w:pPr>
        <w:jc w:val="both"/>
        <w:ind w:firstLine="1304"/>
        <w:spacing w:after="0" w:line="259" w:lineRule="auto"/>
        <w:tabs>
          <w:tab w:leader="none" w:pos="1804" w:val="left"/>
        </w:tabs>
        <w:numPr>
          <w:ilvl w:val="1"/>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Death or Disabilit</w:t>
      </w:r>
      <w:r>
        <w:rPr>
          <w:rFonts w:ascii="Times New Roman" w:cs="Times New Roman" w:eastAsia="Times New Roman" w:hAnsi="Times New Roman"/>
          <w:sz w:val="21"/>
          <w:szCs w:val="21"/>
          <w:color w:val="auto"/>
        </w:rPr>
        <w:t>y.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(the “</w:t>
      </w:r>
      <w:r>
        <w:rPr>
          <w:rFonts w:ascii="Times New Roman" w:cs="Times New Roman" w:eastAsia="Times New Roman" w:hAnsi="Times New Roman"/>
          <w:sz w:val="21"/>
          <w:szCs w:val="21"/>
          <w:u w:val="single" w:color="auto"/>
          <w:color w:val="auto"/>
        </w:rPr>
        <w:t>Prior Year Bonus</w:t>
      </w:r>
      <w:r>
        <w:rPr>
          <w:rFonts w:ascii="Times New Roman" w:cs="Times New Roman" w:eastAsia="Times New Roman" w:hAnsi="Times New Roman"/>
          <w:sz w:val="21"/>
          <w:szCs w:val="21"/>
          <w:color w:val="auto"/>
        </w:rPr>
        <w:t>”) (which amount shall be paid within sixty (60) days following the date of such termination of employment but in no event later than March 15 of the year following the Bonus Year to which such Annual Bonus relates), (iii) an amount equal to the Target Bonus for the year in which such termination of employment occurs, prorated for the period of days beginning on January 1 and ending on the date of such termination of employment relative to the number of days in the applicable Bonus Year (the “</w:t>
      </w:r>
      <w:r>
        <w:rPr>
          <w:rFonts w:ascii="Times New Roman" w:cs="Times New Roman" w:eastAsia="Times New Roman" w:hAnsi="Times New Roman"/>
          <w:sz w:val="21"/>
          <w:szCs w:val="21"/>
          <w:u w:val="single" w:color="auto"/>
          <w:color w:val="auto"/>
        </w:rPr>
        <w:t>Prorated Target Bonus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Prorated Target Bonus described in </w:t>
      </w:r>
      <w:r>
        <w:rPr>
          <w:rFonts w:ascii="Times New Roman" w:cs="Times New Roman" w:eastAsia="Times New Roman" w:hAnsi="Times New Roman"/>
          <w:sz w:val="21"/>
          <w:szCs w:val="21"/>
          <w:u w:val="single" w:color="auto"/>
          <w:color w:val="auto"/>
        </w:rPr>
        <w:t>clause</w:t>
      </w:r>
    </w:p>
    <w:p>
      <w:pPr>
        <w:spacing w:after="0" w:line="4" w:lineRule="exact"/>
        <w:rPr>
          <w:rFonts w:ascii="Times New Roman" w:cs="Times New Roman" w:eastAsia="Times New Roman" w:hAnsi="Times New Roman"/>
          <w:sz w:val="21"/>
          <w:szCs w:val="21"/>
          <w:color w:val="010000"/>
        </w:rPr>
      </w:pPr>
    </w:p>
    <w:p>
      <w:pPr>
        <w:jc w:val="both"/>
        <w:ind w:firstLine="8"/>
        <w:spacing w:after="0" w:line="246" w:lineRule="auto"/>
        <w:tabs>
          <w:tab w:leader="none" w:pos="393" w:val="left"/>
        </w:tabs>
        <w:numPr>
          <w:ilvl w:val="0"/>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the preceding sentence, if any, shall be paid in a lump sum in cash on the Company’s first regularly scheduled pay date that is on or after the date that is sixty (60) days after the date on which Employee’s employment terminates (the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and (iv) subject to Employee’s timely election of continuation coverage under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xml:space="preserve">”), continued participation (pursuant to COBRA) in the Company’s group health plan (to the extent permitted under applicable law and the terms of such plan) covering Employee and Employee’s eligible dependents for a period of thirty-six (36) months at Employee’s (or Employee’s estate’s, in the case of Employee’s death) sole expense,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may modify the continuation coverage contemplated by this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 xml:space="preserve"> to the extent reasonably necessary to avoid the imposition of any excise taxes on the Company for failure to comply with the nondiscrimination requirements of Section 105(h) of the Internal Revenue Code of 1986, as amended; the Patient Protection and Affordable Care Act of 2010, as amended; and/or the Health Care and Education Reconciliation Act of 2010, as amended, and in each case, the regulations and guidance promulgated thereunder (to the extent applicable) (the “</w:t>
      </w:r>
      <w:r>
        <w:rPr>
          <w:rFonts w:ascii="Times New Roman" w:cs="Times New Roman" w:eastAsia="Times New Roman" w:hAnsi="Times New Roman"/>
          <w:sz w:val="22"/>
          <w:szCs w:val="22"/>
          <w:u w:val="single" w:color="auto"/>
          <w:color w:val="auto"/>
        </w:rPr>
        <w:t>COBRA Continuation</w:t>
      </w:r>
      <w:r>
        <w:rPr>
          <w:rFonts w:ascii="Times New Roman" w:cs="Times New Roman" w:eastAsia="Times New Roman" w:hAnsi="Times New Roman"/>
          <w:sz w:val="22"/>
          <w:szCs w:val="22"/>
          <w:color w:val="auto"/>
        </w:rPr>
        <w:t>”). For purposes of this Agreement, a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w:t>
      </w:r>
    </w:p>
    <w:p>
      <w:pPr>
        <w:spacing w:after="0" w:line="187" w:lineRule="exact"/>
        <w:rPr>
          <w:rFonts w:ascii="Times New Roman" w:cs="Times New Roman" w:eastAsia="Times New Roman" w:hAnsi="Times New Roman"/>
          <w:sz w:val="22"/>
          <w:szCs w:val="22"/>
          <w:u w:val="single" w:color="auto"/>
          <w:color w:val="auto"/>
        </w:rPr>
      </w:pPr>
    </w:p>
    <w:p>
      <w:pPr>
        <w:jc w:val="both"/>
        <w:ind w:firstLine="1304"/>
        <w:spacing w:after="0" w:line="256" w:lineRule="auto"/>
        <w:tabs>
          <w:tab w:leader="none" w:pos="1752" w:val="left"/>
        </w:tabs>
        <w:numPr>
          <w:ilvl w:val="1"/>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Employee’s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Terminate for Convenience or Non-Renewal of Term</w:t>
      </w:r>
      <w:r>
        <w:rPr>
          <w:rFonts w:ascii="Times New Roman" w:cs="Times New Roman" w:eastAsia="Times New Roman" w:hAnsi="Times New Roman"/>
          <w:sz w:val="22"/>
          <w:szCs w:val="22"/>
          <w:color w:val="auto"/>
        </w:rPr>
        <w:t>. In addition to Employee’s right to terminate Employee’s employment for Good Reason, Employee shall have the right to terminate Employee’s employment with the Company for convenience at any time and for any other reason, or no reason at all, upon sixty (60) days’ advance written notice to the Company (or ninety (90) days, in the event of a non-renewal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38" w:name="page39"/>
    <w:bookmarkEnd w:id="38"/>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Term or any extension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xml:space="preserve">). Upon the termination of Employee’s employment pursuant to this </w:t>
      </w:r>
      <w:r>
        <w:rPr>
          <w:rFonts w:ascii="Times New Roman" w:cs="Times New Roman" w:eastAsia="Times New Roman" w:hAnsi="Times New Roman"/>
          <w:sz w:val="22"/>
          <w:szCs w:val="22"/>
          <w:u w:val="single" w:color="auto"/>
          <w:color w:val="auto"/>
        </w:rPr>
        <w:t>Section 7(e)</w:t>
      </w:r>
      <w:r>
        <w:rPr>
          <w:rFonts w:ascii="Times New Roman" w:cs="Times New Roman" w:eastAsia="Times New Roman" w:hAnsi="Times New Roman"/>
          <w:sz w:val="22"/>
          <w:szCs w:val="22"/>
          <w:color w:val="auto"/>
        </w:rPr>
        <w:t xml:space="preserve">, (i) the Company shall pay to Employee the Accrued Benefits and (ii) if Employee provides at least ninety (90) days’ written notice of termination and such termination occurs at or following the end of the initial Term, Employee shall be eligible for the COBRA Continuation, subject to the same terms, conditions and eligibility requirements set forth in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 Additionally, if Employee (a) provides at least ninety (90) days’ written notice of termination related to a non-renewal of term (including any renewal terms following the initial Term), (b)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upon such termination, and (c) abides by the terms of each of </w:t>
      </w:r>
      <w:r>
        <w:rPr>
          <w:rFonts w:ascii="Times New Roman" w:cs="Times New Roman" w:eastAsia="Times New Roman" w:hAnsi="Times New Roman"/>
          <w:sz w:val="22"/>
          <w:szCs w:val="22"/>
          <w:u w:val="single" w:color="auto"/>
          <w:color w:val="auto"/>
        </w:rPr>
        <w:t>Sections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Employee shall receive the Prior Year Bonus, if any (which amount shall be paid within sixty (60) days following the date of such termination of employment but in no event later than March 15 of the year following the Bonus Year to which such Annual Bonus relates).</w:t>
      </w:r>
    </w:p>
    <w:p>
      <w:pPr>
        <w:spacing w:after="0" w:line="201" w:lineRule="exact"/>
        <w:rPr>
          <w:sz w:val="20"/>
          <w:szCs w:val="20"/>
          <w:color w:val="auto"/>
        </w:rPr>
      </w:pPr>
    </w:p>
    <w:p>
      <w:pPr>
        <w:ind w:left="1760" w:hanging="456"/>
        <w:spacing w:after="0"/>
        <w:tabs>
          <w:tab w:leader="none" w:pos="1760" w:val="left"/>
        </w:tabs>
        <w:numPr>
          <w:ilvl w:val="0"/>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Effect of Termination of Employment without Cause, for Good Reason, or for the Company’s Non-Renewal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of the Term</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2400" w:hanging="448"/>
        <w:spacing w:after="0"/>
        <w:tabs>
          <w:tab w:leader="none" w:pos="2400" w:val="left"/>
        </w:tabs>
        <w:numPr>
          <w:ilvl w:val="1"/>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Outside a Change in Control Period</w:t>
      </w:r>
      <w:r>
        <w:rPr>
          <w:rFonts w:ascii="Times New Roman" w:cs="Times New Roman" w:eastAsia="Times New Roman" w:hAnsi="Times New Roman"/>
          <w:sz w:val="21"/>
          <w:szCs w:val="21"/>
          <w:color w:val="auto"/>
        </w:rPr>
        <w:t>. If Employee’s employment hereunder is terminated</w:t>
      </w:r>
    </w:p>
    <w:p>
      <w:pPr>
        <w:spacing w:after="0" w:line="39" w:lineRule="exact"/>
        <w:rPr>
          <w:rFonts w:ascii="Times New Roman" w:cs="Times New Roman" w:eastAsia="Times New Roman" w:hAnsi="Times New Roman"/>
          <w:sz w:val="21"/>
          <w:szCs w:val="21"/>
          <w:color w:val="010000"/>
        </w:rPr>
      </w:pPr>
    </w:p>
    <w:p>
      <w:pPr>
        <w:jc w:val="both"/>
        <w:ind w:left="660" w:hanging="4"/>
        <w:spacing w:after="0" w:line="259" w:lineRule="auto"/>
        <w:tabs>
          <w:tab w:leader="none" w:pos="1017"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Company without Cause (including as a result of a non-renewal of the Term or any extension thereof)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or is terminated by Employee for Good Reason pursuant to </w:t>
      </w:r>
      <w:r>
        <w:rPr>
          <w:rFonts w:ascii="Times New Roman" w:cs="Times New Roman" w:eastAsia="Times New Roman" w:hAnsi="Times New Roman"/>
          <w:sz w:val="21"/>
          <w:szCs w:val="21"/>
          <w:u w:val="single" w:color="auto"/>
          <w:color w:val="auto"/>
        </w:rPr>
        <w:t>Section 7(c)</w:t>
      </w:r>
      <w:r>
        <w:rPr>
          <w:rFonts w:ascii="Times New Roman" w:cs="Times New Roman" w:eastAsia="Times New Roman" w:hAnsi="Times New Roman"/>
          <w:sz w:val="21"/>
          <w:szCs w:val="21"/>
          <w:color w:val="auto"/>
        </w:rPr>
        <w:t xml:space="preserve"> and (B) the Termination Date is not on or within eighteen (18) months following a Change in Control (as defined in the LTIP, and such period, the “</w:t>
      </w:r>
      <w:r>
        <w:rPr>
          <w:rFonts w:ascii="Times New Roman" w:cs="Times New Roman" w:eastAsia="Times New Roman" w:hAnsi="Times New Roman"/>
          <w:sz w:val="21"/>
          <w:szCs w:val="21"/>
          <w:u w:val="single" w:color="auto"/>
          <w:color w:val="auto"/>
        </w:rPr>
        <w:t>Change in Control Period</w:t>
      </w:r>
      <w:r>
        <w:rPr>
          <w:rFonts w:ascii="Times New Roman" w:cs="Times New Roman" w:eastAsia="Times New Roman" w:hAnsi="Times New Roman"/>
          <w:sz w:val="21"/>
          <w:szCs w:val="21"/>
          <w:color w:val="auto"/>
        </w:rPr>
        <w:t>”), then the Company shall pay Employee the Accrued Benefits and any Prior Year Bonus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the Release,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8" w:right="339" w:bottom="1440" w:gutter="0" w:footer="0" w:header="0"/>
        </w:sectPr>
      </w:pPr>
    </w:p>
    <w:bookmarkStart w:id="39" w:name="page40"/>
    <w:bookmarkEnd w:id="39"/>
    <w:p>
      <w:pPr>
        <w:ind w:left="4"/>
        <w:spacing w:after="0" w:line="254" w:lineRule="auto"/>
        <w:rPr>
          <w:sz w:val="20"/>
          <w:szCs w:val="20"/>
          <w:color w:val="auto"/>
        </w:rPr>
      </w:pPr>
      <w:r>
        <w:rPr>
          <w:rFonts w:ascii="Times New Roman" w:cs="Times New Roman" w:eastAsia="Times New Roman" w:hAnsi="Times New Roman"/>
          <w:sz w:val="22"/>
          <w:szCs w:val="22"/>
          <w:color w:val="auto"/>
        </w:rPr>
        <w:t xml:space="preserve">Employee’s employment with the Company and any other member of the Company Group or the termination of such employment, but excluding all claims to severance payments, Employee may have under this </w:t>
      </w:r>
      <w:r>
        <w:rPr>
          <w:rFonts w:ascii="Times New Roman" w:cs="Times New Roman" w:eastAsia="Times New Roman" w:hAnsi="Times New Roman"/>
          <w:sz w:val="22"/>
          <w:szCs w:val="22"/>
          <w:u w:val="single" w:color="auto"/>
          <w:color w:val="auto"/>
        </w:rPr>
        <w:t>Section 7(f)(i)</w:t>
      </w:r>
      <w:r>
        <w:rPr>
          <w:rFonts w:ascii="Times New Roman" w:cs="Times New Roman" w:eastAsia="Times New Roman" w:hAnsi="Times New Roman"/>
          <w:sz w:val="22"/>
          <w:szCs w:val="22"/>
          <w:color w:val="auto"/>
        </w:rPr>
        <w:t>; and</w:t>
      </w:r>
    </w:p>
    <w:p>
      <w:pPr>
        <w:spacing w:after="0" w:line="2" w:lineRule="exact"/>
        <w:rPr>
          <w:sz w:val="20"/>
          <w:szCs w:val="20"/>
          <w:color w:val="auto"/>
        </w:rPr>
      </w:pPr>
    </w:p>
    <w:p>
      <w:pPr>
        <w:ind w:left="304" w:hanging="304"/>
        <w:spacing w:after="0"/>
        <w:tabs>
          <w:tab w:leader="none" w:pos="30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abides by the terms of each of </w:t>
      </w:r>
      <w:r>
        <w:rPr>
          <w:rFonts w:ascii="Times New Roman" w:cs="Times New Roman" w:eastAsia="Times New Roman" w:hAnsi="Times New Roman"/>
          <w:sz w:val="22"/>
          <w:szCs w:val="22"/>
          <w:u w:val="single" w:color="auto"/>
          <w:color w:val="auto"/>
        </w:rPr>
        <w:t>Sections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then:</w:t>
      </w:r>
    </w:p>
    <w:p>
      <w:pPr>
        <w:spacing w:after="0" w:line="209" w:lineRule="exact"/>
        <w:rPr>
          <w:rFonts w:ascii="Times New Roman" w:cs="Times New Roman" w:eastAsia="Times New Roman" w:hAnsi="Times New Roman"/>
          <w:sz w:val="22"/>
          <w:szCs w:val="22"/>
          <w:color w:val="auto"/>
        </w:rPr>
      </w:pPr>
    </w:p>
    <w:p>
      <w:pPr>
        <w:ind w:left="2624" w:hanging="680"/>
        <w:spacing w:after="0"/>
        <w:tabs>
          <w:tab w:leader="none" w:pos="2624" w:val="left"/>
        </w:tabs>
        <w:numPr>
          <w:ilvl w:val="2"/>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make severance payments to Employee in a total amount equal to</w:t>
      </w:r>
    </w:p>
    <w:p>
      <w:pPr>
        <w:spacing w:after="0" w:line="27" w:lineRule="exact"/>
        <w:rPr>
          <w:rFonts w:ascii="Times New Roman" w:cs="Times New Roman" w:eastAsia="Times New Roman" w:hAnsi="Times New Roman"/>
          <w:sz w:val="22"/>
          <w:szCs w:val="22"/>
          <w:color w:val="010000"/>
        </w:rPr>
      </w:pPr>
    </w:p>
    <w:p>
      <w:pPr>
        <w:jc w:val="both"/>
        <w:ind w:left="644" w:firstLine="4"/>
        <w:spacing w:after="0" w:line="246" w:lineRule="auto"/>
        <w:tabs>
          <w:tab w:leader="none" w:pos="919"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twelve (12) months’ worth of Employee’s Base Salary and (ii) one (1) times the target Annual Bonus, where each are determined as of the year in which such termination occurs (such total severance payments being referred to as the “</w:t>
      </w:r>
      <w:r>
        <w:rPr>
          <w:rFonts w:ascii="Times New Roman" w:cs="Times New Roman" w:eastAsia="Times New Roman" w:hAnsi="Times New Roman"/>
          <w:sz w:val="22"/>
          <w:szCs w:val="22"/>
          <w:u w:val="single" w:color="auto"/>
          <w:color w:val="auto"/>
        </w:rPr>
        <w:t>Non-CIC Severance Payment</w:t>
      </w:r>
      <w:r>
        <w:rPr>
          <w:rFonts w:ascii="Times New Roman" w:cs="Times New Roman" w:eastAsia="Times New Roman" w:hAnsi="Times New Roman"/>
          <w:sz w:val="22"/>
          <w:szCs w:val="22"/>
          <w:color w:val="auto"/>
        </w:rPr>
        <w:t>”). The Non-CIC Severance Payment will be divided into substantially equal installments paid over the twelve (12)-month period following the Termination Date. On the Company’s first regularly scheduled pay date that is on or after the date that is sixty (60) days after the Termination Date (the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xml:space="preserve">”), the Company shall pay to Employee, without interest, a number of such installments equal to the 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such twelve (12)-month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to the extent, if any, that the aggregate amount of the installments of the Non-CIC Severance Payment that would otherwise be paid pursuant to the preceding provisions of this </w:t>
      </w:r>
      <w:r>
        <w:rPr>
          <w:rFonts w:ascii="Times New Roman" w:cs="Times New Roman" w:eastAsia="Times New Roman" w:hAnsi="Times New Roman"/>
          <w:sz w:val="22"/>
          <w:szCs w:val="22"/>
          <w:u w:val="single" w:color="auto"/>
          <w:color w:val="auto"/>
        </w:rPr>
        <w:t>Section 7(f)(i)(A)</w:t>
      </w:r>
      <w:r>
        <w:rPr>
          <w:rFonts w:ascii="Times New Roman" w:cs="Times New Roman" w:eastAsia="Times New Roman" w:hAnsi="Times New Roman"/>
          <w:sz w:val="22"/>
          <w:szCs w:val="22"/>
          <w:color w:val="auto"/>
        </w:rPr>
        <w:t xml:space="preserve"> after March 15 of the calendar year following the calendar year in which the Termination Date occurs (the “</w:t>
      </w:r>
      <w:r>
        <w:rPr>
          <w:rFonts w:ascii="Times New Roman" w:cs="Times New Roman" w:eastAsia="Times New Roman" w:hAnsi="Times New Roman"/>
          <w:sz w:val="22"/>
          <w:szCs w:val="22"/>
          <w:u w:val="single" w:color="auto"/>
          <w:color w:val="auto"/>
        </w:rPr>
        <w:t>Applicable March 15</w:t>
      </w:r>
      <w:r>
        <w:rPr>
          <w:rFonts w:ascii="Times New Roman" w:cs="Times New Roman" w:eastAsia="Times New Roman" w:hAnsi="Times New Roman"/>
          <w:sz w:val="22"/>
          <w:szCs w:val="22"/>
          <w:color w:val="auto"/>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Non-CIC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except a Saturday, Sunday or other day on which commercial banks in Houston, Texas, are authorized or required by law to be closed.</w:t>
      </w:r>
    </w:p>
    <w:p>
      <w:pPr>
        <w:spacing w:after="0" w:line="187" w:lineRule="exact"/>
        <w:rPr>
          <w:rFonts w:ascii="Times New Roman" w:cs="Times New Roman" w:eastAsia="Times New Roman" w:hAnsi="Times New Roman"/>
          <w:sz w:val="22"/>
          <w:szCs w:val="22"/>
          <w:color w:val="auto"/>
        </w:rPr>
      </w:pPr>
    </w:p>
    <w:p>
      <w:pPr>
        <w:jc w:val="both"/>
        <w:ind w:left="644" w:firstLine="1300"/>
        <w:spacing w:after="0" w:line="257" w:lineRule="auto"/>
        <w:tabs>
          <w:tab w:leader="none" w:pos="2498" w:val="left"/>
        </w:tabs>
        <w:numPr>
          <w:ilvl w:val="2"/>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pay to Employee the Prorated Target Bonus, payable in a lump sum on the Company’s first regularly scheduled pay date that is on or after the date that is sixty (60) days after the Termination Date.</w:t>
      </w:r>
    </w:p>
    <w:p>
      <w:pPr>
        <w:spacing w:after="0" w:line="172" w:lineRule="exact"/>
        <w:rPr>
          <w:rFonts w:ascii="Times New Roman" w:cs="Times New Roman" w:eastAsia="Times New Roman" w:hAnsi="Times New Roman"/>
          <w:sz w:val="22"/>
          <w:szCs w:val="22"/>
          <w:color w:val="010000"/>
        </w:rPr>
      </w:pPr>
    </w:p>
    <w:p>
      <w:pPr>
        <w:ind w:left="644" w:right="20" w:firstLine="1300"/>
        <w:spacing w:after="0" w:line="271" w:lineRule="auto"/>
        <w:tabs>
          <w:tab w:leader="none" w:pos="2660" w:val="left"/>
        </w:tabs>
        <w:numPr>
          <w:ilvl w:val="2"/>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Employee shall be eligible for the COBRA Continuation, subject to the same terms, conditions and eligibility requirements set forth in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84"/>
          </w:cols>
          <w:pgMar w:left="976" w:top="1422" w:right="339" w:bottom="1440" w:gutter="0" w:footer="0" w:header="0"/>
        </w:sectPr>
      </w:pPr>
    </w:p>
    <w:bookmarkStart w:id="40" w:name="page41"/>
    <w:bookmarkEnd w:id="40"/>
    <w:p>
      <w:pPr>
        <w:ind w:left="644" w:right="20"/>
        <w:spacing w:after="0" w:line="271" w:lineRule="auto"/>
        <w:rPr>
          <w:sz w:val="20"/>
          <w:szCs w:val="20"/>
          <w:color w:val="auto"/>
        </w:rPr>
      </w:pPr>
      <w:r>
        <w:rPr>
          <w:rFonts w:ascii="Times New Roman" w:cs="Times New Roman" w:eastAsia="Times New Roman" w:hAnsi="Times New Roman"/>
          <w:sz w:val="22"/>
          <w:szCs w:val="22"/>
          <w:color w:val="auto"/>
        </w:rPr>
        <w:t xml:space="preserve">The payments and benefits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are collectively referred to herein as the “</w:t>
      </w:r>
      <w:r>
        <w:rPr>
          <w:rFonts w:ascii="Times New Roman" w:cs="Times New Roman" w:eastAsia="Times New Roman" w:hAnsi="Times New Roman"/>
          <w:sz w:val="22"/>
          <w:szCs w:val="22"/>
          <w:u w:val="single" w:color="auto"/>
          <w:color w:val="auto"/>
        </w:rPr>
        <w:t>Non-CIC Termination Benefits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804" w:hanging="508"/>
        <w:spacing w:after="0"/>
        <w:tabs>
          <w:tab w:leader="none" w:pos="1804"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Within a Change in Control Period</w:t>
      </w:r>
      <w:r>
        <w:rPr>
          <w:rFonts w:ascii="Times New Roman" w:cs="Times New Roman" w:eastAsia="Times New Roman" w:hAnsi="Times New Roman"/>
          <w:sz w:val="21"/>
          <w:szCs w:val="21"/>
          <w:color w:val="auto"/>
        </w:rPr>
        <w:t>. If Employee’s employment hereunder is terminated</w:t>
      </w:r>
    </w:p>
    <w:p>
      <w:pPr>
        <w:spacing w:after="0" w:line="40" w:lineRule="exact"/>
        <w:rPr>
          <w:rFonts w:ascii="Times New Roman" w:cs="Times New Roman" w:eastAsia="Times New Roman" w:hAnsi="Times New Roman"/>
          <w:sz w:val="21"/>
          <w:szCs w:val="21"/>
          <w:color w:val="010000"/>
        </w:rPr>
      </w:pPr>
    </w:p>
    <w:p>
      <w:pPr>
        <w:jc w:val="both"/>
        <w:ind w:left="4" w:hanging="4"/>
        <w:spacing w:after="0" w:line="259" w:lineRule="auto"/>
        <w:tabs>
          <w:tab w:leader="none" w:pos="361"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Company without Cause (including as a result of a non-renewal of the Term or any extension thereof)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or is terminated by Employee for Good Reason pursuant to </w:t>
      </w:r>
      <w:r>
        <w:rPr>
          <w:rFonts w:ascii="Times New Roman" w:cs="Times New Roman" w:eastAsia="Times New Roman" w:hAnsi="Times New Roman"/>
          <w:sz w:val="21"/>
          <w:szCs w:val="21"/>
          <w:u w:val="single" w:color="auto"/>
          <w:color w:val="auto"/>
        </w:rPr>
        <w:t>Section 7(c)</w:t>
      </w:r>
      <w:r>
        <w:rPr>
          <w:rFonts w:ascii="Times New Roman" w:cs="Times New Roman" w:eastAsia="Times New Roman" w:hAnsi="Times New Roman"/>
          <w:sz w:val="21"/>
          <w:szCs w:val="21"/>
          <w:color w:val="auto"/>
        </w:rPr>
        <w:t xml:space="preserve"> and (B) the Termination Date is within the Change in Control Period, then the Company shall pay Employee the Accrued Benefits and any Prior Year Bonus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and does not revoke within any time provided by the Company to do so, the Release,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Times New Roman" w:cs="Times New Roman" w:eastAsia="Times New Roman" w:hAnsi="Times New Roman"/>
          <w:sz w:val="21"/>
          <w:szCs w:val="21"/>
          <w:u w:val="single" w:color="auto"/>
          <w:color w:val="auto"/>
        </w:rPr>
        <w:t>Section 7(f)(ii)</w:t>
      </w:r>
      <w:r>
        <w:rPr>
          <w:rFonts w:ascii="Times New Roman" w:cs="Times New Roman" w:eastAsia="Times New Roman" w:hAnsi="Times New Roman"/>
          <w:sz w:val="21"/>
          <w:szCs w:val="21"/>
          <w:color w:val="auto"/>
        </w:rPr>
        <w:t xml:space="preserve">; and (y) abides by the terms of each of </w:t>
      </w:r>
      <w:r>
        <w:rPr>
          <w:rFonts w:ascii="Times New Roman" w:cs="Times New Roman" w:eastAsia="Times New Roman" w:hAnsi="Times New Roman"/>
          <w:sz w:val="21"/>
          <w:szCs w:val="21"/>
          <w:u w:val="single" w:color="auto"/>
          <w:color w:val="auto"/>
        </w:rPr>
        <w:t>Sections 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then:</w:t>
      </w:r>
    </w:p>
    <w:p>
      <w:pPr>
        <w:spacing w:after="0" w:line="181" w:lineRule="exact"/>
        <w:rPr>
          <w:rFonts w:ascii="Times New Roman" w:cs="Times New Roman" w:eastAsia="Times New Roman" w:hAnsi="Times New Roman"/>
          <w:sz w:val="21"/>
          <w:szCs w:val="21"/>
          <w:color w:val="auto"/>
        </w:rPr>
      </w:pPr>
    </w:p>
    <w:p>
      <w:pPr>
        <w:jc w:val="both"/>
        <w:ind w:left="644" w:firstLine="1300"/>
        <w:spacing w:after="0" w:line="253" w:lineRule="auto"/>
        <w:tabs>
          <w:tab w:leader="none" w:pos="2483" w:val="left"/>
        </w:tabs>
        <w:numPr>
          <w:ilvl w:val="2"/>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make a lump sum payment to Employee equal to the product of two and ninety-nine hundredths (2.99) times the sum of (I) twelve (12) months’ of Employee’s Base Salary and (II) the target Annual Bonus, where each are determined as of the year in which such termination occurs, with such lump sum payable on the Company’s first regularly scheduled pay date that is on or after the date that is sixty (60) days after the Termination Date.</w:t>
      </w:r>
    </w:p>
    <w:p>
      <w:pPr>
        <w:spacing w:after="0" w:line="178" w:lineRule="exact"/>
        <w:rPr>
          <w:rFonts w:ascii="Times New Roman" w:cs="Times New Roman" w:eastAsia="Times New Roman" w:hAnsi="Times New Roman"/>
          <w:sz w:val="22"/>
          <w:szCs w:val="22"/>
          <w:color w:val="010000"/>
        </w:rPr>
      </w:pPr>
    </w:p>
    <w:p>
      <w:pPr>
        <w:jc w:val="both"/>
        <w:ind w:left="644" w:firstLine="1300"/>
        <w:spacing w:after="0" w:line="257" w:lineRule="auto"/>
        <w:tabs>
          <w:tab w:leader="none" w:pos="2498" w:val="left"/>
        </w:tabs>
        <w:numPr>
          <w:ilvl w:val="2"/>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pay to Employee the Prorated Target Bonus, payable in a lump sum on the Company’s first regularly scheduled pay date that is on or after the date that is sixty (60) days after the Termination Date.</w:t>
      </w:r>
    </w:p>
    <w:p>
      <w:pPr>
        <w:spacing w:after="0" w:line="172" w:lineRule="exact"/>
        <w:rPr>
          <w:rFonts w:ascii="Times New Roman" w:cs="Times New Roman" w:eastAsia="Times New Roman" w:hAnsi="Times New Roman"/>
          <w:sz w:val="22"/>
          <w:szCs w:val="22"/>
          <w:color w:val="010000"/>
        </w:rPr>
      </w:pPr>
    </w:p>
    <w:p>
      <w:pPr>
        <w:jc w:val="both"/>
        <w:ind w:left="644" w:firstLine="1300"/>
        <w:spacing w:after="0" w:line="268" w:lineRule="auto"/>
        <w:tabs>
          <w:tab w:leader="none" w:pos="2660" w:val="left"/>
        </w:tabs>
        <w:numPr>
          <w:ilvl w:val="2"/>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Employee shall be eligible for the COBRA Continuation, subject to the same terms, conditions and eligibility requirements set forth in </w:t>
      </w:r>
      <w:r>
        <w:rPr>
          <w:rFonts w:ascii="Times New Roman" w:cs="Times New Roman" w:eastAsia="Times New Roman" w:hAnsi="Times New Roman"/>
          <w:sz w:val="21"/>
          <w:szCs w:val="21"/>
          <w:u w:val="single" w:color="auto"/>
          <w:color w:val="auto"/>
        </w:rPr>
        <w:t>Section 7(d)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COBRA Continuation will be provided at a monthly rate that is no greater than the monthly premium payable by Employee for coverage under the Company’s group health plan covering Employee and Employee’s eligible dependents as of immediately prior to the Termination Date, with any cost in excess of such amount being paid or reimbursed by the Company.</w:t>
      </w:r>
    </w:p>
    <w:p>
      <w:pPr>
        <w:spacing w:after="0" w:line="164" w:lineRule="exact"/>
        <w:rPr>
          <w:sz w:val="20"/>
          <w:szCs w:val="20"/>
          <w:color w:val="auto"/>
        </w:rPr>
      </w:pPr>
    </w:p>
    <w:p>
      <w:pPr>
        <w:ind w:left="644" w:right="20"/>
        <w:spacing w:after="0" w:line="271" w:lineRule="auto"/>
        <w:rPr>
          <w:sz w:val="20"/>
          <w:szCs w:val="20"/>
          <w:color w:val="auto"/>
        </w:rPr>
      </w:pPr>
      <w:r>
        <w:rPr>
          <w:rFonts w:ascii="Times New Roman" w:cs="Times New Roman" w:eastAsia="Times New Roman" w:hAnsi="Times New Roman"/>
          <w:sz w:val="22"/>
          <w:szCs w:val="22"/>
          <w:color w:val="auto"/>
        </w:rPr>
        <w:t xml:space="preserve">The payments and benefits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are collectively referred to herein as the “</w:t>
      </w:r>
      <w:r>
        <w:rPr>
          <w:rFonts w:ascii="Times New Roman" w:cs="Times New Roman" w:eastAsia="Times New Roman" w:hAnsi="Times New Roman"/>
          <w:sz w:val="22"/>
          <w:szCs w:val="22"/>
          <w:u w:val="single" w:color="auto"/>
          <w:color w:val="auto"/>
        </w:rPr>
        <w:t>CIC Termination Benefits</w:t>
      </w:r>
      <w:r>
        <w:rPr>
          <w:rFonts w:ascii="Times New Roman" w:cs="Times New Roman" w:eastAsia="Times New Roman" w:hAnsi="Times New Roman"/>
          <w:sz w:val="22"/>
          <w:szCs w:val="22"/>
          <w:color w:val="auto"/>
        </w:rPr>
        <w:t>” (and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84"/>
          </w:cols>
          <w:pgMar w:left="976" w:top="1422" w:right="339"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22"/>
          <w:szCs w:val="22"/>
          <w:color w:val="auto"/>
        </w:rPr>
        <w:t>with the Non-CIC Termination Benefits, as applicable, the “</w:t>
      </w:r>
      <w:r>
        <w:rPr>
          <w:rFonts w:ascii="Times New Roman" w:cs="Times New Roman" w:eastAsia="Times New Roman" w:hAnsi="Times New Roman"/>
          <w:sz w:val="22"/>
          <w:szCs w:val="22"/>
          <w:u w:val="single" w:color="auto"/>
          <w:color w:val="auto"/>
        </w:rPr>
        <w:t>Termination Benefits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1292"/>
        <w:spacing w:after="0" w:line="250" w:lineRule="auto"/>
        <w:tabs>
          <w:tab w:leader="none" w:pos="2496" w:val="left"/>
        </w:tabs>
        <w:numPr>
          <w:ilvl w:val="2"/>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Release is not executed and returned to the Company on or before the Release Expiration Date, and the required revocation period has not fully expired without revocation of the Release by Employee, then Employee shall not be entitled to any portion of the applicable Termination Benefits. As used herein, the “</w:t>
      </w:r>
      <w:r>
        <w:rPr>
          <w:rFonts w:ascii="Times New Roman" w:cs="Times New Roman" w:eastAsia="Times New Roman" w:hAnsi="Times New Roman"/>
          <w:sz w:val="22"/>
          <w:szCs w:val="22"/>
          <w:u w:val="single" w:color="auto"/>
          <w:color w:val="auto"/>
        </w:rPr>
        <w:t>Release Expiration Date</w:t>
      </w:r>
      <w:r>
        <w:rPr>
          <w:rFonts w:ascii="Times New Roman" w:cs="Times New Roman" w:eastAsia="Times New Roman" w:hAnsi="Times New Roman"/>
          <w:sz w:val="22"/>
          <w:szCs w:val="22"/>
          <w:color w:val="auto"/>
        </w:rPr>
        <w:t>” 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spacing w:after="0" w:line="186"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777" w:val="left"/>
        </w:tabs>
        <w:numPr>
          <w:ilvl w:val="1"/>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After-Acquired Evidence</w:t>
      </w:r>
      <w:r>
        <w:rPr>
          <w:rFonts w:ascii="Times New Roman" w:cs="Times New Roman" w:eastAsia="Times New Roman" w:hAnsi="Times New Roman"/>
          <w:sz w:val="22"/>
          <w:szCs w:val="22"/>
          <w:color w:val="auto"/>
        </w:rPr>
        <w:t xml:space="preserve">. Notwithstanding any provision of this Agreement to the contrary, in the event that the Company determines, in good faith, that Employee is eligible to receive Termination Benefits pursuant to </w:t>
      </w:r>
      <w:r>
        <w:rPr>
          <w:rFonts w:ascii="Times New Roman" w:cs="Times New Roman" w:eastAsia="Times New Roman" w:hAnsi="Times New Roman"/>
          <w:sz w:val="22"/>
          <w:szCs w:val="22"/>
          <w:u w:val="single" w:color="auto"/>
          <w:color w:val="auto"/>
        </w:rPr>
        <w:t>Section 7(f)</w:t>
      </w:r>
      <w:r>
        <w:rPr>
          <w:rFonts w:ascii="Times New Roman" w:cs="Times New Roman" w:eastAsia="Times New Roman" w:hAnsi="Times New Roman"/>
          <w:sz w:val="22"/>
          <w:szCs w:val="22"/>
          <w:color w:val="auto"/>
        </w:rPr>
        <w:t xml:space="preserve"> but, after such determination, the Company subsequently acquires evidence or determines that: (i) Employee has failed to abide by the terms of </w:t>
      </w:r>
      <w:r>
        <w:rPr>
          <w:rFonts w:ascii="Times New Roman" w:cs="Times New Roman" w:eastAsia="Times New Roman" w:hAnsi="Times New Roman"/>
          <w:sz w:val="22"/>
          <w:szCs w:val="22"/>
          <w:u w:val="single" w:color="auto"/>
          <w:color w:val="auto"/>
        </w:rPr>
        <w:t>Sections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or (ii) a Cause condition existed prior to the Termination Date that, had the Company been fully aware of such condition, would have given the Company the right to terminate Employee’s employment pursuant to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have been satisfied. In addition, the provisions of the last sentence of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shall apply, and, subject to any limitation under applicable law, previously paid compensation pursuant to </w:t>
      </w:r>
      <w:r>
        <w:rPr>
          <w:rFonts w:ascii="Times New Roman" w:cs="Times New Roman" w:eastAsia="Times New Roman" w:hAnsi="Times New Roman"/>
          <w:sz w:val="22"/>
          <w:szCs w:val="22"/>
          <w:u w:val="single" w:color="auto"/>
          <w:color w:val="auto"/>
        </w:rPr>
        <w:t>Sections 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3(c)</w:t>
      </w:r>
      <w:r>
        <w:rPr>
          <w:rFonts w:ascii="Times New Roman" w:cs="Times New Roman" w:eastAsia="Times New Roman" w:hAnsi="Times New Roman"/>
          <w:sz w:val="22"/>
          <w:szCs w:val="22"/>
          <w:color w:val="auto"/>
        </w:rPr>
        <w:t xml:space="preserve"> shall be subject to clawback or forfeiture and cancellation at the discretion of the Compensation Committee in the event Employee fails to abide by the terms of </w:t>
      </w:r>
      <w:r>
        <w:rPr>
          <w:rFonts w:ascii="Times New Roman" w:cs="Times New Roman" w:eastAsia="Times New Roman" w:hAnsi="Times New Roman"/>
          <w:sz w:val="22"/>
          <w:szCs w:val="22"/>
          <w:u w:val="single" w:color="auto"/>
          <w:color w:val="auto"/>
        </w:rPr>
        <w:t>Sections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010000"/>
        </w:rPr>
      </w:pPr>
    </w:p>
    <w:p>
      <w:pPr>
        <w:jc w:val="both"/>
        <w:ind w:firstLine="656"/>
        <w:spacing w:after="0" w:line="252" w:lineRule="auto"/>
        <w:tabs>
          <w:tab w:leader="none" w:pos="1053"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Disclosures</w:t>
      </w:r>
      <w:r>
        <w:rPr>
          <w:rFonts w:ascii="Times New Roman" w:cs="Times New Roman" w:eastAsia="Times New Roman" w:hAnsi="Times New Roman"/>
          <w:sz w:val="22"/>
          <w:szCs w:val="22"/>
          <w:color w:val="auto"/>
        </w:rPr>
        <w:t>. Promptly (and in any event, within three (3) Business Days) upon becoming aware of (a) any actual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Times New Roman" w:cs="Times New Roman" w:eastAsia="Times New Roman" w:hAnsi="Times New Roman"/>
          <w:sz w:val="22"/>
          <w:szCs w:val="22"/>
          <w:u w:val="single" w:color="auto"/>
          <w:color w:val="auto"/>
        </w:rPr>
        <w:t>Conflict of Interest</w:t>
      </w:r>
      <w:r>
        <w:rPr>
          <w:rFonts w:ascii="Times New Roman" w:cs="Times New Roman" w:eastAsia="Times New Roman" w:hAnsi="Times New Roman"/>
          <w:sz w:val="22"/>
          <w:szCs w:val="22"/>
          <w:color w:val="auto"/>
        </w:rPr>
        <w:t>” shall exist when Employee engages in, or plans to engage in, any activities, associations, or interests that conflict with, or create an appearance of a conflict with, Employee’s duties, responsibilities, authorities, or obligations for or to any member of the Company Group.</w:t>
      </w:r>
    </w:p>
    <w:p>
      <w:pPr>
        <w:spacing w:after="0" w:line="174" w:lineRule="exact"/>
        <w:rPr>
          <w:rFonts w:ascii="Times New Roman" w:cs="Times New Roman" w:eastAsia="Times New Roman" w:hAnsi="Times New Roman"/>
          <w:sz w:val="22"/>
          <w:szCs w:val="22"/>
          <w:color w:val="010000"/>
        </w:rPr>
      </w:pPr>
    </w:p>
    <w:p>
      <w:pPr>
        <w:jc w:val="both"/>
        <w:ind w:firstLine="656"/>
        <w:spacing w:after="0" w:line="254" w:lineRule="auto"/>
        <w:tabs>
          <w:tab w:leader="none" w:pos="1093"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In the course of Employee’s employment with the Company and the performance of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42" w:name="page43"/>
    <w:bookmarkEnd w:id="42"/>
    <w:p>
      <w:pPr>
        <w:jc w:val="both"/>
        <w:ind w:firstLine="1304"/>
        <w:spacing w:after="0" w:line="250" w:lineRule="auto"/>
        <w:tabs>
          <w:tab w:leader="none" w:pos="1765"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9(e)</w:t>
      </w:r>
      <w:r>
        <w:rPr>
          <w:rFonts w:ascii="Times New Roman" w:cs="Times New Roman" w:eastAsia="Times New Roman" w:hAnsi="Times New Roman"/>
          <w:sz w:val="22"/>
          <w:szCs w:val="22"/>
          <w:color w:val="auto"/>
        </w:rPr>
        <w:t xml:space="preserve">, both during the Employment Period and thereafter, except as expressly permitted by this Agreement or by directive of the Board, for the benefit of the Company Group, or while acting in the course and scope of his employment, Employee shall not disclose any Confidential Information to any person or entity and shall not use any Confidential Information. Employee shall follow all Company policies and protocols regarding the security of all documents and other materials containing Confidential Information to the extent such policies have been clearly communicated in writing or made available to Employee (regardless of the medium on which Confidential Information is stored). The covenants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9(a)</w:t>
      </w:r>
      <w:r>
        <w:rPr>
          <w:rFonts w:ascii="Times New Roman" w:cs="Times New Roman" w:eastAsia="Times New Roman" w:hAnsi="Times New Roman"/>
          <w:sz w:val="22"/>
          <w:szCs w:val="22"/>
          <w:color w:val="auto"/>
        </w:rPr>
        <w:t xml:space="preserve"> shall apply to all Confidential Information, whether now known or later to become known to Employee during the period that Employee is employed by or affiliated with or providing services to the Company or any other member of the Company Group.</w:t>
      </w:r>
    </w:p>
    <w:p>
      <w:pPr>
        <w:spacing w:after="0" w:line="179" w:lineRule="exact"/>
        <w:rPr>
          <w:rFonts w:ascii="Times New Roman" w:cs="Times New Roman" w:eastAsia="Times New Roman" w:hAnsi="Times New Roman"/>
          <w:sz w:val="22"/>
          <w:szCs w:val="22"/>
          <w:color w:val="010000"/>
        </w:rPr>
      </w:pPr>
    </w:p>
    <w:p>
      <w:pPr>
        <w:ind w:right="20" w:firstLine="1304"/>
        <w:spacing w:after="0" w:line="271" w:lineRule="auto"/>
        <w:tabs>
          <w:tab w:leader="none" w:pos="1993"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 provision of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xml:space="preserve"> to the contrary, Employee may make the following disclosures and uses of Confidential Information:</w:t>
      </w:r>
    </w:p>
    <w:p>
      <w:pPr>
        <w:spacing w:after="0" w:line="157" w:lineRule="exact"/>
        <w:rPr>
          <w:rFonts w:ascii="Times New Roman" w:cs="Times New Roman" w:eastAsia="Times New Roman" w:hAnsi="Times New Roman"/>
          <w:sz w:val="22"/>
          <w:szCs w:val="22"/>
          <w:color w:val="010000"/>
        </w:rPr>
      </w:pPr>
    </w:p>
    <w:p>
      <w:pPr>
        <w:ind w:left="660" w:firstLine="1292"/>
        <w:spacing w:after="0" w:line="271" w:lineRule="auto"/>
        <w:tabs>
          <w:tab w:leader="none" w:pos="2457" w:val="left"/>
        </w:tabs>
        <w:numPr>
          <w:ilvl w:val="1"/>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to other employees of a member of the Company Group who have a need to know the information in connection with the businesses of the Company Group;</w:t>
      </w:r>
    </w:p>
    <w:p>
      <w:pPr>
        <w:spacing w:after="0" w:line="157" w:lineRule="exact"/>
        <w:rPr>
          <w:rFonts w:ascii="Times New Roman" w:cs="Times New Roman" w:eastAsia="Times New Roman" w:hAnsi="Times New Roman"/>
          <w:sz w:val="22"/>
          <w:szCs w:val="22"/>
          <w:color w:val="010000"/>
        </w:rPr>
      </w:pPr>
    </w:p>
    <w:p>
      <w:pPr>
        <w:jc w:val="both"/>
        <w:ind w:left="660" w:firstLine="1292"/>
        <w:spacing w:after="0" w:line="263" w:lineRule="auto"/>
        <w:tabs>
          <w:tab w:leader="none" w:pos="2638" w:val="left"/>
        </w:tabs>
        <w:numPr>
          <w:ilvl w:val="1"/>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to third parties when, in the reasonable and good faith belief of Employee, such disclosure is in connection with Employee’s performance of Employee’s duties under this Agreement and in the best interest of the Company Group;</w:t>
      </w:r>
    </w:p>
    <w:p>
      <w:pPr>
        <w:spacing w:after="0" w:line="167" w:lineRule="exact"/>
        <w:rPr>
          <w:rFonts w:ascii="Times New Roman" w:cs="Times New Roman" w:eastAsia="Times New Roman" w:hAnsi="Times New Roman"/>
          <w:sz w:val="22"/>
          <w:szCs w:val="22"/>
          <w:color w:val="010000"/>
        </w:rPr>
      </w:pPr>
    </w:p>
    <w:p>
      <w:pPr>
        <w:ind w:left="2500" w:hanging="548"/>
        <w:spacing w:after="0"/>
        <w:tabs>
          <w:tab w:leader="none" w:pos="2500" w:val="left"/>
        </w:tabs>
        <w:numPr>
          <w:ilvl w:val="1"/>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and uses that are approved in writing by the Board; or</w:t>
      </w:r>
    </w:p>
    <w:p>
      <w:pPr>
        <w:spacing w:after="0" w:line="219" w:lineRule="exact"/>
        <w:rPr>
          <w:rFonts w:ascii="Times New Roman" w:cs="Times New Roman" w:eastAsia="Times New Roman" w:hAnsi="Times New Roman"/>
          <w:sz w:val="22"/>
          <w:szCs w:val="22"/>
          <w:color w:val="010000"/>
        </w:rPr>
      </w:pPr>
    </w:p>
    <w:p>
      <w:pPr>
        <w:jc w:val="both"/>
        <w:ind w:left="660" w:firstLine="1292"/>
        <w:spacing w:after="0" w:line="263" w:lineRule="auto"/>
        <w:tabs>
          <w:tab w:leader="none" w:pos="2538" w:val="left"/>
        </w:tabs>
        <w:numPr>
          <w:ilvl w:val="1"/>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to a person or entity that has (x) been retained by a member of the Company Group to provide services to one or more members of the Company Group and (y) agreed in writing to abide by the terms of a confidentiality agreement.</w:t>
      </w:r>
    </w:p>
    <w:p>
      <w:pPr>
        <w:spacing w:after="0" w:line="167"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914"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spacing w:after="0" w:line="180"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858"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43" w:name="page44"/>
    <w:bookmarkEnd w:id="43"/>
    <w:p>
      <w:pPr>
        <w:jc w:val="both"/>
        <w:spacing w:after="0" w:line="260" w:lineRule="auto"/>
        <w:rPr>
          <w:sz w:val="20"/>
          <w:szCs w:val="20"/>
          <w:color w:val="auto"/>
        </w:rPr>
      </w:pPr>
      <w:r>
        <w:rPr>
          <w:rFonts w:ascii="Times New Roman" w:cs="Times New Roman" w:eastAsia="Times New Roman" w:hAnsi="Times New Roman"/>
          <w:sz w:val="21"/>
          <w:szCs w:val="21"/>
          <w:color w:val="auto"/>
        </w:rPr>
        <w:t>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such source is not bound by a confidentiality agreement with, or other obligation with respect to confidentiality to, a member of the Company Group.</w:t>
      </w:r>
    </w:p>
    <w:p>
      <w:pPr>
        <w:spacing w:after="0" w:line="175" w:lineRule="exact"/>
        <w:rPr>
          <w:sz w:val="20"/>
          <w:szCs w:val="20"/>
          <w:color w:val="auto"/>
        </w:rPr>
      </w:pPr>
    </w:p>
    <w:p>
      <w:pPr>
        <w:ind w:left="1780" w:hanging="476"/>
        <w:spacing w:after="0"/>
        <w:tabs>
          <w:tab w:leader="none" w:pos="1780" w:val="left"/>
        </w:tabs>
        <w:numPr>
          <w:ilvl w:val="1"/>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the foregoing, nothing in this Agreement shall prohibit or restrict Employee from lawfully:</w:t>
      </w:r>
    </w:p>
    <w:p>
      <w:pPr>
        <w:spacing w:after="0" w:line="39" w:lineRule="exact"/>
        <w:rPr>
          <w:rFonts w:ascii="Times New Roman" w:cs="Times New Roman" w:eastAsia="Times New Roman" w:hAnsi="Times New Roman"/>
          <w:sz w:val="21"/>
          <w:szCs w:val="21"/>
          <w:color w:val="010000"/>
        </w:rPr>
      </w:pPr>
    </w:p>
    <w:p>
      <w:pPr>
        <w:jc w:val="both"/>
        <w:ind w:firstLine="8"/>
        <w:spacing w:after="0" w:line="259" w:lineRule="auto"/>
        <w:tabs>
          <w:tab w:leader="none" w:pos="26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initiating communications directly with, cooperating with, providing information to, causing information to be provided to, or otherwise assisting in an investigation by, any governmental or regulatory agency, entity, official or authority regarding a possible violation of any law; (ii) responding to any inquiry or legal process directed to Employee from any such governmental authority;</w:t>
      </w:r>
    </w:p>
    <w:p>
      <w:pPr>
        <w:spacing w:after="0" w:line="1" w:lineRule="exact"/>
        <w:rPr>
          <w:rFonts w:ascii="Times New Roman" w:cs="Times New Roman" w:eastAsia="Times New Roman" w:hAnsi="Times New Roman"/>
          <w:sz w:val="21"/>
          <w:szCs w:val="21"/>
          <w:color w:val="auto"/>
        </w:rPr>
      </w:pPr>
    </w:p>
    <w:p>
      <w:pPr>
        <w:jc w:val="both"/>
        <w:ind w:firstLine="8"/>
        <w:spacing w:after="0" w:line="257" w:lineRule="auto"/>
        <w:tabs>
          <w:tab w:leader="none" w:pos="39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testifying, participating or otherwise assisting in any action or proceeding by any such governmental authority relating to a possible violation of law; or (iv) making any other disclosures that are protected under the whistleblower provisions of any applicable law. Nothing in this Agreement shall be interpreted to prohibit or restrict Employee to disclose an act of sexual abuse or facts related to an act of sexual abuse. Additionally, pursuant to the federal Defend Trade Secrets Act of 2016, an individual shall not be held criminally or civilly liable under any federal or state trade secret law for the disclosure of a trade secret that:</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is made (1) in confidence to a federal, state or local government official, either directly or indirectly, or to an attorney and</w:t>
      </w:r>
    </w:p>
    <w:p>
      <w:pPr>
        <w:spacing w:after="0" w:line="3" w:lineRule="exact"/>
        <w:rPr>
          <w:rFonts w:ascii="Times New Roman" w:cs="Times New Roman" w:eastAsia="Times New Roman" w:hAnsi="Times New Roman"/>
          <w:sz w:val="21"/>
          <w:szCs w:val="21"/>
          <w:color w:val="auto"/>
        </w:rPr>
      </w:pPr>
    </w:p>
    <w:p>
      <w:pPr>
        <w:jc w:val="both"/>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44" w:name="page45"/>
    <w:bookmarkEnd w:id="44"/>
    <w:p>
      <w:pPr>
        <w:jc w:val="both"/>
        <w:ind w:firstLine="656"/>
        <w:spacing w:after="0" w:line="263" w:lineRule="auto"/>
        <w:tabs>
          <w:tab w:leader="none" w:pos="1242" w:val="left"/>
        </w:tabs>
        <w:numPr>
          <w:ilvl w:val="1"/>
          <w:numId w:val="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Non-Competition; Non-Solicitation</w:t>
      </w:r>
      <w:r>
        <w:rPr>
          <w:rFonts w:ascii="Times New Roman" w:cs="Times New Roman" w:eastAsia="Times New Roman" w:hAnsi="Times New Roman"/>
          <w:sz w:val="21"/>
          <w:szCs w:val="21"/>
          <w:color w:val="auto"/>
        </w:rPr>
        <w:t>. Employee acknowledges that (i) Employee performs services of a unique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nature for the Company Group that are irreplaceable, and that Employee’s performance of such services to a competing business will result in irreparable harm to the Company Group, (ii) Employee has had and will continue to have access to Confidential Information which, if disclosed, would unfairly and inappropriately assist in competition against the Company Group, (iii) in the course of Employee’s employment by a competitor, Employee would inevitably use or disclose such Confidential Information,</w:t>
      </w:r>
    </w:p>
    <w:p>
      <w:pPr>
        <w:jc w:val="both"/>
        <w:ind w:firstLine="8"/>
        <w:spacing w:after="0" w:line="247" w:lineRule="auto"/>
        <w:tabs>
          <w:tab w:leader="none" w:pos="39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has substantial relationships with their Customers and Employee has had and will continue to have access to these Customers, (v) Employee has received and will receive specialized training from the Company Group, and (vi) Employee has generated and will continue to generate goodwill for the Company Group in the course of Employee’s employment. Accordingly, Employee agrees that for the duration of Employee’s employment and for one (1) year thereafter, Employee shall not, directly or indirectly:</w:t>
      </w:r>
    </w:p>
    <w:p>
      <w:pPr>
        <w:spacing w:after="0" w:line="186" w:lineRule="exact"/>
        <w:rPr>
          <w:rFonts w:ascii="Times New Roman" w:cs="Times New Roman" w:eastAsia="Times New Roman" w:hAnsi="Times New Roman"/>
          <w:sz w:val="22"/>
          <w:szCs w:val="22"/>
          <w:color w:val="auto"/>
        </w:rPr>
      </w:pPr>
    </w:p>
    <w:p>
      <w:pPr>
        <w:jc w:val="both"/>
        <w:ind w:firstLine="1304"/>
        <w:spacing w:after="0" w:line="246" w:lineRule="auto"/>
        <w:tabs>
          <w:tab w:leader="none" w:pos="1765" w:val="left"/>
        </w:tabs>
        <w:numPr>
          <w:ilvl w:val="2"/>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own, manage, operate, control, be employed by (whether as an employee, consultant, independent contractor or otherwise, and whether or not for compensation) or render services to any person, firm, corporation or other entity, in whatever form, engaged in competition with the Company Group on the Termination Date, which includes the business of merchant power production, including nuclear power generation, or any business material to the Company Group which the Company Group has taken substantial steps to engage in, on or prior to such date in the Pennsylvania-New Jersey-Maryland Interconnection region (as determined by the Federal Energy Regulatory Commission), Montana or any other geographic region in the United States where the Company Group conducts or has taken substantial steps to conduct business prior to the Termination Date and in which Employee had material responsibilities or made actual contact (whether in person, virtual, or by email, text, or phone) between Employee and a customer or prospective customer with whom Employee dealt on behalf of the Company Group or whose dealings with the Company Group were coordinated or supervised by Employee, or who received any product or service from the Company Group that resulted in payment of compensation to Employee, or about whom Employee obtained Confidential Information as a result of Employee’s employment with or service to the Company Group. Notwithstanding the foregoing, nothing herein shall prohibit Employee from being a passive owner of not more than three percent (3%) of the equity securities of a publicly traded corporation engaged in a business that is in competition with the Company Group, so long as Employee has no active participation in the business of such corporation. Nothing in this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shall prohibit Employee from being employed or engaged by any Person where such work would not involve any level of strategic, advisory, technical, creative, sales, or other activity similar to that which Employee provided to the Company Group (acknowledging that Employee’s role requires Employee to engage in strategic, managerial, and business development activity), or is in connection with an independent business line of such Person that is wholly unrelated to the business of the Company Group and Confidential Information (subject to protocols to prevent Employee from disclosing Confidential Information). In addition, the provisions of this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shall not be violated by Employee commencing employment with a subsidiary, division or unit of any entity that engages in a business in competition with the Company Group so long as Employee and such subsidiary, division or unit does not engage in a business in competition with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18" w:right="339" w:bottom="1440" w:gutter="0" w:footer="0" w:header="0"/>
        </w:sectPr>
      </w:pPr>
    </w:p>
    <w:bookmarkStart w:id="45" w:name="page46"/>
    <w:bookmarkEnd w:id="45"/>
    <w:p>
      <w:pPr>
        <w:jc w:val="both"/>
        <w:ind w:firstLine="1304"/>
        <w:spacing w:after="0" w:line="248" w:lineRule="auto"/>
        <w:tabs>
          <w:tab w:leader="none" w:pos="1804"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solicit, induce or attempt to induce any person who was, as of the Termination Date, an employee, agent or individual retained as an independent contractor of the Company or any member of the Company Group and with whom Employee had contact during the Employee’s employment with or service to the Company Group or who otherwise worked in the same department as the Employee (“</w:t>
      </w:r>
      <w:r>
        <w:rPr>
          <w:rFonts w:ascii="Times New Roman" w:cs="Times New Roman" w:eastAsia="Times New Roman" w:hAnsi="Times New Roman"/>
          <w:sz w:val="22"/>
          <w:szCs w:val="22"/>
          <w:u w:val="single" w:color="auto"/>
          <w:color w:val="auto"/>
        </w:rPr>
        <w:t>Covered Individuals</w:t>
      </w:r>
      <w:r>
        <w:rPr>
          <w:rFonts w:ascii="Times New Roman" w:cs="Times New Roman" w:eastAsia="Times New Roman" w:hAnsi="Times New Roman"/>
          <w:sz w:val="22"/>
          <w:szCs w:val="22"/>
          <w:color w:val="auto"/>
        </w:rPr>
        <w:t xml:space="preserve">”), to terminate his or her employment or contracting relationship with the Company Group, or to become an employee or independent contractor of any other Person or hire or retain any such employee, agent or individual, or take any action to materially assist or aid any other Person in identifying, hiring or soliciting any such employee, agent or individual (any employee, agent or individual retained as an independent contractor of the Company Group shall be deemed covered by this </w:t>
      </w:r>
      <w:r>
        <w:rPr>
          <w:rFonts w:ascii="Times New Roman" w:cs="Times New Roman" w:eastAsia="Times New Roman" w:hAnsi="Times New Roman"/>
          <w:sz w:val="22"/>
          <w:szCs w:val="22"/>
          <w:u w:val="single" w:color="auto"/>
          <w:color w:val="auto"/>
        </w:rPr>
        <w:t>Section 10(b)</w:t>
      </w:r>
      <w:r>
        <w:rPr>
          <w:rFonts w:ascii="Times New Roman" w:cs="Times New Roman" w:eastAsia="Times New Roman" w:hAnsi="Times New Roman"/>
          <w:sz w:val="22"/>
          <w:szCs w:val="22"/>
          <w:color w:val="auto"/>
        </w:rPr>
        <w:t xml:space="preserve"> while so employed or retained and for a period of six (6) months thereafter); notwithstanding anything to the contrary in this Agreement, general employment solicitations through advertisements for candidates in publicly available media for potential employment do not violate this provision; so long as such advertisements are not specifically targeted at any Covered Individuals;</w:t>
      </w:r>
    </w:p>
    <w:p>
      <w:pPr>
        <w:spacing w:after="0" w:line="188"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887"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solicit, induce or attempt to induce any Customer (as defined below) or any supplier or other business relation of the Company Group who was working with any member of the Company Group as of the Termination Date, to cease doing or reduce the amount of its business with such entity or in any way interfere with the relationship between any such Customer, supplier or other business relation and the Company Group; or</w:t>
      </w:r>
    </w:p>
    <w:p>
      <w:pPr>
        <w:spacing w:after="0" w:line="176" w:lineRule="exact"/>
        <w:rPr>
          <w:rFonts w:ascii="Times New Roman" w:cs="Times New Roman" w:eastAsia="Times New Roman" w:hAnsi="Times New Roman"/>
          <w:sz w:val="22"/>
          <w:szCs w:val="22"/>
          <w:color w:val="010000"/>
        </w:rPr>
      </w:pPr>
    </w:p>
    <w:p>
      <w:pPr>
        <w:ind w:firstLine="1304"/>
        <w:spacing w:after="0" w:line="271" w:lineRule="auto"/>
        <w:tabs>
          <w:tab w:leader="none" w:pos="1926"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interfere, or aid or induce any other person or entity in interfering, with the relationship between the Company Group and any of their respective vendors, joint venturers or licensors.</w:t>
      </w:r>
    </w:p>
    <w:p>
      <w:pPr>
        <w:spacing w:after="0" w:line="157" w:lineRule="exact"/>
        <w:rPr>
          <w:rFonts w:ascii="Times New Roman" w:cs="Times New Roman" w:eastAsia="Times New Roman" w:hAnsi="Times New Roman"/>
          <w:sz w:val="22"/>
          <w:szCs w:val="22"/>
          <w:color w:val="010000"/>
        </w:rPr>
      </w:pPr>
    </w:p>
    <w:p>
      <w:pPr>
        <w:ind w:left="1760" w:hanging="456"/>
        <w:spacing w:after="0"/>
        <w:tabs>
          <w:tab w:leader="none" w:pos="1760"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For the purposes of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the following definitions shall apply:</w:t>
      </w:r>
    </w:p>
    <w:p>
      <w:pPr>
        <w:spacing w:after="0" w:line="219" w:lineRule="exact"/>
        <w:rPr>
          <w:rFonts w:ascii="Times New Roman" w:cs="Times New Roman" w:eastAsia="Times New Roman" w:hAnsi="Times New Roman"/>
          <w:sz w:val="22"/>
          <w:szCs w:val="22"/>
          <w:color w:val="010000"/>
        </w:rPr>
      </w:pPr>
    </w:p>
    <w:p>
      <w:pPr>
        <w:jc w:val="both"/>
        <w:ind w:left="660" w:firstLine="1292"/>
        <w:spacing w:after="0" w:line="252" w:lineRule="auto"/>
        <w:tabs>
          <w:tab w:leader="none" w:pos="2416"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Customer</w:t>
      </w:r>
      <w:r>
        <w:rPr>
          <w:rFonts w:ascii="Times New Roman" w:cs="Times New Roman" w:eastAsia="Times New Roman" w:hAnsi="Times New Roman"/>
          <w:sz w:val="22"/>
          <w:szCs w:val="22"/>
          <w:color w:val="auto"/>
        </w:rPr>
        <w:t>” means any Person who or which: (a) purchased products or services from the Company Group prior to or during Employee’s period of employment and who or which Employee was aware of or about whom or which Employee had received Confidential Information; or (b) was called upon or solicited by the Company or any member of the Company Group or any of their predecessors prior to or during the twelve (12) month period prior to the Termination Date, if Employee had direct or indirect contact with such Person as an employee or service provider of the Company Group or learned or became aware of such Person during Employee’s employment with or service to the Company Group.</w:t>
      </w:r>
    </w:p>
    <w:p>
      <w:pPr>
        <w:spacing w:after="0" w:line="179"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679"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partnership, a limited liability company, a corporation, an association, a joint stock company, a trust, a joint venture, an unincorporated organization and a governmental entity or any department, agency or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46" w:name="page47"/>
    <w:bookmarkEnd w:id="46"/>
    <w:p>
      <w:pPr>
        <w:ind w:left="1140" w:hanging="484"/>
        <w:spacing w:after="0"/>
        <w:tabs>
          <w:tab w:leader="none" w:pos="1140" w:val="left"/>
        </w:tabs>
        <w:numPr>
          <w:ilvl w:val="1"/>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Ownership of Intellectual Property</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60" w:lineRule="auto"/>
        <w:tabs>
          <w:tab w:leader="none" w:pos="1806" w:val="left"/>
        </w:tabs>
        <w:numPr>
          <w:ilvl w:val="2"/>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w:t>
      </w:r>
    </w:p>
    <w:p>
      <w:pPr>
        <w:spacing w:after="0" w:line="3" w:lineRule="exact"/>
        <w:rPr>
          <w:rFonts w:ascii="Times New Roman" w:cs="Times New Roman" w:eastAsia="Times New Roman" w:hAnsi="Times New Roman"/>
          <w:sz w:val="21"/>
          <w:szCs w:val="21"/>
          <w:color w:val="010000"/>
        </w:rPr>
      </w:pPr>
    </w:p>
    <w:p>
      <w:pPr>
        <w:jc w:val="both"/>
        <w:ind w:firstLine="8"/>
        <w:spacing w:after="0" w:line="260" w:lineRule="auto"/>
        <w:tabs>
          <w:tab w:leader="none" w:pos="27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Times New Roman" w:cs="Times New Roman" w:eastAsia="Times New Roman" w:hAnsi="Times New Roman"/>
          <w:sz w:val="21"/>
          <w:szCs w:val="21"/>
          <w:u w:val="single" w:color="auto"/>
          <w:color w:val="auto"/>
        </w:rPr>
        <w:t>Company Intellectual Property</w:t>
      </w:r>
      <w:r>
        <w:rPr>
          <w:rFonts w:ascii="Times New Roman" w:cs="Times New Roman" w:eastAsia="Times New Roman" w:hAnsi="Times New Roman"/>
          <w:sz w:val="21"/>
          <w:szCs w:val="21"/>
          <w:color w:val="auto"/>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spacing w:after="0" w:line="171"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39" w:val="left"/>
        </w:tabs>
        <w:numPr>
          <w:ilvl w:val="2"/>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spacing w:after="0" w:line="193"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60" w:val="left"/>
        </w:tabs>
        <w:numPr>
          <w:ilvl w:val="2"/>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spacing w:after="0" w:line="180"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1777" w:val="left"/>
        </w:tabs>
        <w:numPr>
          <w:ilvl w:val="2"/>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allowed by law, this Section applies to all rights that may be known as or referred to as “moral rights,” “artist’s rights,” “droit moral,” or the like, including without limitation those rights set forth in 17 U.S.C. §106A (collectively, “</w:t>
      </w:r>
      <w:r>
        <w:rPr>
          <w:rFonts w:ascii="Times New Roman" w:cs="Times New Roman" w:eastAsia="Times New Roman" w:hAnsi="Times New Roman"/>
          <w:sz w:val="22"/>
          <w:szCs w:val="22"/>
          <w:u w:val="single" w:color="auto"/>
          <w:color w:val="auto"/>
        </w:rPr>
        <w:t>Moral Rights</w:t>
      </w:r>
      <w:r>
        <w:rPr>
          <w:rFonts w:ascii="Times New Roman" w:cs="Times New Roman" w:eastAsia="Times New Roman" w:hAnsi="Times New Roman"/>
          <w:sz w:val="22"/>
          <w:szCs w:val="22"/>
          <w:color w:val="auto"/>
        </w:rPr>
        <w: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18" w:right="3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22"/>
          <w:szCs w:val="22"/>
          <w:color w:val="auto"/>
        </w:rPr>
        <w:t>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spacing w:after="0" w:line="176" w:lineRule="exact"/>
        <w:rPr>
          <w:sz w:val="20"/>
          <w:szCs w:val="20"/>
          <w:color w:val="auto"/>
        </w:rPr>
      </w:pPr>
    </w:p>
    <w:p>
      <w:pPr>
        <w:jc w:val="both"/>
        <w:ind w:firstLine="1304"/>
        <w:spacing w:after="0" w:line="248" w:lineRule="auto"/>
        <w:tabs>
          <w:tab w:leader="none" w:pos="1806"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hereby represents and warrants that there are no inventions (whether or not patentable), original works of authorship, designs, know-how, mask works, ideas, information, developments, improvements, or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Times New Roman" w:cs="Times New Roman" w:eastAsia="Times New Roman" w:hAnsi="Times New Roman"/>
          <w:sz w:val="22"/>
          <w:szCs w:val="22"/>
          <w:u w:val="single" w:color="auto"/>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spacing w:after="0" w:line="184"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36"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spacing w:after="0" w:line="179"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31"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that after reasonable and diligent effort to communicate with Employee, the Company (or, as applicable, a member of the Company Group) is unable to secure Employee’s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48" w:name="page49"/>
    <w:bookmarkEnd w:id="48"/>
    <w:p>
      <w:pPr>
        <w:jc w:val="both"/>
        <w:spacing w:after="0" w:line="251" w:lineRule="auto"/>
        <w:rPr>
          <w:sz w:val="20"/>
          <w:szCs w:val="20"/>
          <w:color w:val="auto"/>
        </w:rPr>
      </w:pPr>
      <w:r>
        <w:rPr>
          <w:rFonts w:ascii="Times New Roman" w:cs="Times New Roman" w:eastAsia="Times New Roman" w:hAnsi="Times New Roman"/>
          <w:sz w:val="22"/>
          <w:szCs w:val="22"/>
          <w:color w:val="auto"/>
        </w:rPr>
        <w:t>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Employee.</w:t>
      </w:r>
    </w:p>
    <w:p>
      <w:pPr>
        <w:spacing w:after="0" w:line="181" w:lineRule="exact"/>
        <w:rPr>
          <w:sz w:val="20"/>
          <w:szCs w:val="20"/>
          <w:color w:val="auto"/>
        </w:rPr>
      </w:pPr>
    </w:p>
    <w:p>
      <w:pPr>
        <w:jc w:val="both"/>
        <w:ind w:firstLine="1304"/>
        <w:spacing w:after="0" w:line="262" w:lineRule="auto"/>
        <w:tabs>
          <w:tab w:leader="none" w:pos="1818" w:val="left"/>
        </w:tabs>
        <w:numPr>
          <w:ilvl w:val="2"/>
          <w:numId w:val="7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In the event that after reasonable and diligent effort to coordinate with Employee, the Company (or the applicable member of the Company Group) is unable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w:t>
      </w:r>
    </w:p>
    <w:p>
      <w:pPr>
        <w:spacing w:after="0" w:line="167" w:lineRule="exact"/>
        <w:rPr>
          <w:rFonts w:ascii="Times New Roman" w:cs="Times New Roman" w:eastAsia="Times New Roman" w:hAnsi="Times New Roman"/>
          <w:sz w:val="21"/>
          <w:szCs w:val="21"/>
          <w:color w:val="010000"/>
        </w:rPr>
      </w:pPr>
    </w:p>
    <w:p>
      <w:pPr>
        <w:jc w:val="both"/>
        <w:ind w:firstLine="656"/>
        <w:spacing w:after="0" w:line="265" w:lineRule="auto"/>
        <w:tabs>
          <w:tab w:leader="none" w:pos="1134" w:val="left"/>
        </w:tabs>
        <w:numPr>
          <w:ilvl w:val="1"/>
          <w:numId w:val="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Defense of Claims</w:t>
      </w:r>
      <w:r>
        <w:rPr>
          <w:rFonts w:ascii="Times New Roman" w:cs="Times New Roman" w:eastAsia="Times New Roman" w:hAnsi="Times New Roman"/>
          <w:sz w:val="21"/>
          <w:szCs w:val="21"/>
          <w:color w:val="auto"/>
        </w:rPr>
        <w:t>. During the Employment Period and for a period of one (1) year following the Termination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request from the Company, Employee shall reasonably cooperate with the Company Group, at times and locations agreeable to Employee, to assist (a) in the prosecution of any claims that may be made by the Company Group, to the extent that such claims may relate to Employee’s employment with the Company and about which Employee has substantial knowledge and</w:t>
      </w:r>
    </w:p>
    <w:p>
      <w:pPr>
        <w:jc w:val="both"/>
        <w:ind w:firstLine="8"/>
        <w:spacing w:after="0" w:line="246" w:lineRule="auto"/>
        <w:tabs>
          <w:tab w:leader="none" w:pos="32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defense of any claims that may be made by or against any member of the Company Group that relate to Employee’s actual or prior areas of responsibility (collectively, (a) and (b) of this sentence, the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9(e)</w:t>
      </w:r>
      <w:r>
        <w:rPr>
          <w:rFonts w:ascii="Times New Roman" w:cs="Times New Roman" w:eastAsia="Times New Roman" w:hAnsi="Times New Roman"/>
          <w:sz w:val="22"/>
          <w:szCs w:val="22"/>
          <w:color w:val="auto"/>
        </w:rPr>
        <w:t xml:space="preserve">, Employee agrees to promptly inform the Company if Employee becomes aware of any lawsuits involving Claims that may be filed or threatened against the Company Group. Subject to </w:t>
      </w:r>
      <w:r>
        <w:rPr>
          <w:rFonts w:ascii="Times New Roman" w:cs="Times New Roman" w:eastAsia="Times New Roman" w:hAnsi="Times New Roman"/>
          <w:sz w:val="22"/>
          <w:szCs w:val="22"/>
          <w:u w:val="single" w:color="auto"/>
          <w:color w:val="auto"/>
        </w:rPr>
        <w:t>Section 9(e)</w:t>
      </w:r>
      <w:r>
        <w:rPr>
          <w:rFonts w:ascii="Times New Roman" w:cs="Times New Roman" w:eastAsia="Times New Roman" w:hAnsi="Times New Roman"/>
          <w:sz w:val="22"/>
          <w:szCs w:val="22"/>
          <w:color w:val="auto"/>
        </w:rPr>
        <w:t xml:space="preserve">, Employee also agrees to promptly inform the Company (to the extent that Employee is legally permitted to do so) if Employee is asked to assist in any investigation of the Company Group (or their actions) or another party attempts to obtain information or documents from Employee (other than in connection with any litigation or other proceeding in which Employee is a party-in-opposition) with respect to matters Employee believes in good faith to relate to any investigation of the Company Group, in each case, regardless of whether a lawsuit or other proceeding has then been filed against the Company Group with respect to such investigation, and shall not do so unless legally required. Subject to </w:t>
      </w:r>
      <w:r>
        <w:rPr>
          <w:rFonts w:ascii="Times New Roman" w:cs="Times New Roman" w:eastAsia="Times New Roman" w:hAnsi="Times New Roman"/>
          <w:sz w:val="22"/>
          <w:szCs w:val="22"/>
          <w:u w:val="single" w:color="auto"/>
          <w:color w:val="auto"/>
        </w:rPr>
        <w:t>Section 9(e)</w:t>
      </w:r>
      <w:r>
        <w:rPr>
          <w:rFonts w:ascii="Times New Roman" w:cs="Times New Roman" w:eastAsia="Times New Roman" w:hAnsi="Times New Roman"/>
          <w:sz w:val="22"/>
          <w:szCs w:val="22"/>
          <w:color w:val="auto"/>
        </w:rPr>
        <w:t>, during the pendency of any litigation or other proceeding involving Claims, Employee shall not communicate with anyone (other than Employee’s attorneys and tax and/or financial advisors and except to the extent that Employee determines in good faith is necessary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49" w:name="page50"/>
    <w:bookmarkEnd w:id="49"/>
    <w:p>
      <w:pPr>
        <w:jc w:val="both"/>
        <w:spacing w:after="0" w:line="257" w:lineRule="auto"/>
        <w:rPr>
          <w:sz w:val="20"/>
          <w:szCs w:val="20"/>
          <w:color w:val="auto"/>
        </w:rPr>
      </w:pPr>
      <w:r>
        <w:rPr>
          <w:rFonts w:ascii="Times New Roman" w:cs="Times New Roman" w:eastAsia="Times New Roman" w:hAnsi="Times New Roman"/>
          <w:sz w:val="22"/>
          <w:szCs w:val="22"/>
          <w:color w:val="auto"/>
        </w:rPr>
        <w:t>the performance of Employee’s duties hereunder) with respect to the facts or subject matter of any pending or potential litigation or regulatory or administrative proceeding involving the Company Group without giving prior written notice to the Company or the Company’s counsel.</w:t>
      </w:r>
    </w:p>
    <w:p>
      <w:pPr>
        <w:spacing w:after="0" w:line="182" w:lineRule="exact"/>
        <w:rPr>
          <w:sz w:val="20"/>
          <w:szCs w:val="20"/>
          <w:color w:val="auto"/>
        </w:rPr>
      </w:pPr>
    </w:p>
    <w:p>
      <w:pPr>
        <w:jc w:val="both"/>
        <w:ind w:firstLine="656"/>
        <w:spacing w:after="0" w:line="263" w:lineRule="auto"/>
        <w:tabs>
          <w:tab w:leader="none" w:pos="1161" w:val="left"/>
        </w:tabs>
        <w:numPr>
          <w:ilvl w:val="0"/>
          <w:numId w:val="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Non-Disparagement</w:t>
      </w:r>
      <w:r>
        <w:rPr>
          <w:rFonts w:ascii="Times New Roman" w:cs="Times New Roman" w:eastAsia="Times New Roman" w:hAnsi="Times New Roman"/>
          <w:sz w:val="21"/>
          <w:szCs w:val="21"/>
          <w:color w:val="auto"/>
        </w:rPr>
        <w:t>. During the Employment Period and thereafter, except to the extent compelled or required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applicable law and subject to </w:t>
      </w:r>
      <w:r>
        <w:rPr>
          <w:rFonts w:ascii="Times New Roman" w:cs="Times New Roman" w:eastAsia="Times New Roman" w:hAnsi="Times New Roman"/>
          <w:sz w:val="21"/>
          <w:szCs w:val="21"/>
          <w:u w:val="single" w:color="auto"/>
          <w:color w:val="auto"/>
        </w:rPr>
        <w:t>Section 9(e)</w:t>
      </w:r>
      <w:r>
        <w:rPr>
          <w:rFonts w:ascii="Times New Roman" w:cs="Times New Roman" w:eastAsia="Times New Roman" w:hAnsi="Times New Roman"/>
          <w:sz w:val="21"/>
          <w:szCs w:val="21"/>
          <w:color w:val="auto"/>
        </w:rPr>
        <w:t xml:space="preserve">, Employee agrees Employee shall not disparage the Company Group or its respective officers, directors, employees, shareholders or successors or their respective products or services, in any manner (including but not limited to, verbally or via hard copy, websites, blogs, social media forums or any other medium);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nothing in this Section shall prevent Employee from: engaging in concerted activity relative to the terms and conditions of Employee’s employment and in communications protected under the National Labor Relations Act, filing a charge or providing information to any governmental agency;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nothing in this Section shall prevent Employee from providing information in response to a subpoena or other enforceable legal process or as otherwise required by law.</w:t>
      </w:r>
    </w:p>
    <w:p>
      <w:pPr>
        <w:spacing w:after="0" w:line="164" w:lineRule="exact"/>
        <w:rPr>
          <w:rFonts w:ascii="Times New Roman" w:cs="Times New Roman" w:eastAsia="Times New Roman" w:hAnsi="Times New Roman"/>
          <w:sz w:val="21"/>
          <w:szCs w:val="21"/>
          <w:color w:val="010000"/>
        </w:rPr>
      </w:pPr>
    </w:p>
    <w:p>
      <w:pPr>
        <w:jc w:val="both"/>
        <w:ind w:firstLine="656"/>
        <w:spacing w:after="0" w:line="252" w:lineRule="auto"/>
        <w:tabs>
          <w:tab w:leader="none" w:pos="1188"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Reasonableness of Covenants</w:t>
      </w:r>
      <w:r>
        <w:rPr>
          <w:rFonts w:ascii="Times New Roman" w:cs="Times New Roman" w:eastAsia="Times New Roman" w:hAnsi="Times New Roman"/>
          <w:sz w:val="22"/>
          <w:szCs w:val="22"/>
          <w:color w:val="auto"/>
        </w:rPr>
        <w:t>. In signing this Agreement, Employee has carefully read and considered all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terms and conditions of this Agreement, including the restraints imposed under these </w:t>
      </w:r>
      <w:r>
        <w:rPr>
          <w:rFonts w:ascii="Times New Roman" w:cs="Times New Roman" w:eastAsia="Times New Roman" w:hAnsi="Times New Roman"/>
          <w:sz w:val="22"/>
          <w:szCs w:val="22"/>
          <w:u w:val="single" w:color="auto"/>
          <w:color w:val="auto"/>
        </w:rPr>
        <w:t>Sections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Employee agrees that these restraints are necessary for the reasonable and proper protection of the Company Group and their trade secrets and Confidential Information and that such restraints are reasonable in respect to subject matter, length of time and geographic area. Employee acknowledges that each of these covenants has a unique, very substantial and immeasurable value to the Company Group.</w:t>
      </w:r>
    </w:p>
    <w:p>
      <w:pPr>
        <w:spacing w:after="0" w:line="174" w:lineRule="exact"/>
        <w:rPr>
          <w:rFonts w:ascii="Times New Roman" w:cs="Times New Roman" w:eastAsia="Times New Roman" w:hAnsi="Times New Roman"/>
          <w:sz w:val="22"/>
          <w:szCs w:val="22"/>
          <w:color w:val="010000"/>
        </w:rPr>
      </w:pPr>
    </w:p>
    <w:p>
      <w:pPr>
        <w:jc w:val="both"/>
        <w:ind w:firstLine="656"/>
        <w:spacing w:after="0" w:line="258" w:lineRule="auto"/>
        <w:tabs>
          <w:tab w:leader="none" w:pos="1201"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Tolling</w:t>
      </w:r>
      <w:r>
        <w:rPr>
          <w:rFonts w:ascii="Times New Roman" w:cs="Times New Roman" w:eastAsia="Times New Roman" w:hAnsi="Times New Roman"/>
          <w:sz w:val="22"/>
          <w:szCs w:val="22"/>
          <w:color w:val="auto"/>
        </w:rPr>
        <w:t>. In the event of any violation of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Employee acknowledges and agrees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that the post-termination restrictions contained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shall be extended by a period of time equal to the period of such violation, as determined by a court of law, it being the intention of the parties hereto that the running of the applicable post-termination restriction period shall be tolled during any period of such violation.</w:t>
      </w:r>
    </w:p>
    <w:p>
      <w:pPr>
        <w:spacing w:after="0" w:line="167" w:lineRule="exact"/>
        <w:rPr>
          <w:rFonts w:ascii="Times New Roman" w:cs="Times New Roman" w:eastAsia="Times New Roman" w:hAnsi="Times New Roman"/>
          <w:sz w:val="22"/>
          <w:szCs w:val="22"/>
          <w:color w:val="010000"/>
        </w:rPr>
      </w:pPr>
    </w:p>
    <w:p>
      <w:pPr>
        <w:jc w:val="both"/>
        <w:ind w:right="20" w:firstLine="656"/>
        <w:spacing w:after="0" w:line="259" w:lineRule="auto"/>
        <w:tabs>
          <w:tab w:leader="none" w:pos="1134"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Withholdings; Deductions</w:t>
      </w:r>
      <w:r>
        <w:rPr>
          <w:rFonts w:ascii="Times New Roman" w:cs="Times New Roman" w:eastAsia="Times New Roman" w:hAnsi="Times New Roman"/>
          <w:sz w:val="22"/>
          <w:szCs w:val="22"/>
          <w:color w:val="auto"/>
        </w:rPr>
        <w:t>. The Company may withhold and deduct from any benefits and payments made or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pursuant to this Agreement (a) all federal, state, local and other taxes as may be required pursuant to any law or governmental regulation or ruling and (b) any deductions consented to in writing by Employee.</w:t>
      </w:r>
    </w:p>
    <w:p>
      <w:pPr>
        <w:spacing w:after="0" w:line="179" w:lineRule="exact"/>
        <w:rPr>
          <w:rFonts w:ascii="Times New Roman" w:cs="Times New Roman" w:eastAsia="Times New Roman" w:hAnsi="Times New Roman"/>
          <w:sz w:val="22"/>
          <w:szCs w:val="22"/>
          <w:color w:val="010000"/>
        </w:rPr>
      </w:pPr>
    </w:p>
    <w:p>
      <w:pPr>
        <w:jc w:val="both"/>
        <w:ind w:firstLine="656"/>
        <w:spacing w:after="0" w:line="248" w:lineRule="auto"/>
        <w:tabs>
          <w:tab w:leader="none" w:pos="1134"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Title and Headings; Construction</w:t>
      </w:r>
      <w:r>
        <w:rPr>
          <w:rFonts w:ascii="Times New Roman" w:cs="Times New Roman" w:eastAsia="Times New Roman" w:hAnsi="Times New Roman"/>
          <w:sz w:val="22"/>
          <w:szCs w:val="22"/>
          <w:color w:val="auto"/>
        </w:rPr>
        <w:t>. Titles and headings to Sections hereof are for the purpose of reference only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50" w:name="page51"/>
    <w:bookmarkEnd w:id="50"/>
    <w:p>
      <w:pPr>
        <w:jc w:val="both"/>
        <w:spacing w:after="0" w:line="251" w:lineRule="auto"/>
        <w:rPr>
          <w:sz w:val="20"/>
          <w:szCs w:val="20"/>
          <w:color w:val="auto"/>
        </w:rPr>
      </w:pPr>
      <w:r>
        <w:rPr>
          <w:rFonts w:ascii="Times New Roman" w:cs="Times New Roman" w:eastAsia="Times New Roman" w:hAnsi="Times New Roman"/>
          <w:sz w:val="22"/>
          <w:szCs w:val="22"/>
          <w:color w:val="auto"/>
        </w:rPr>
        <w:t>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77" w:lineRule="exact"/>
        <w:rPr>
          <w:sz w:val="20"/>
          <w:szCs w:val="20"/>
          <w:color w:val="auto"/>
        </w:rPr>
      </w:pPr>
    </w:p>
    <w:p>
      <w:pPr>
        <w:jc w:val="both"/>
        <w:ind w:firstLine="656"/>
        <w:spacing w:after="0" w:line="258" w:lineRule="auto"/>
        <w:tabs>
          <w:tab w:leader="none" w:pos="1228"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color w:val="auto"/>
        </w:rPr>
        <w:t>. This Agreement shall in all respects be construed according to the laws of the State of Texas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Houston, Texas.</w:t>
      </w:r>
    </w:p>
    <w:p>
      <w:pPr>
        <w:spacing w:after="0" w:line="167" w:lineRule="exact"/>
        <w:rPr>
          <w:rFonts w:ascii="Times New Roman" w:cs="Times New Roman" w:eastAsia="Times New Roman" w:hAnsi="Times New Roman"/>
          <w:sz w:val="22"/>
          <w:szCs w:val="22"/>
          <w:color w:val="010000"/>
        </w:rPr>
      </w:pPr>
    </w:p>
    <w:p>
      <w:pPr>
        <w:jc w:val="both"/>
        <w:ind w:firstLine="656"/>
        <w:spacing w:after="0" w:line="249" w:lineRule="auto"/>
        <w:tabs>
          <w:tab w:leader="none" w:pos="1174"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Entire Agreement and Amendment</w:t>
      </w:r>
      <w:r>
        <w:rPr>
          <w:rFonts w:ascii="Times New Roman" w:cs="Times New Roman" w:eastAsia="Times New Roman" w:hAnsi="Times New Roman"/>
          <w:sz w:val="22"/>
          <w:szCs w:val="22"/>
          <w:color w:val="auto"/>
        </w:rPr>
        <w:t>. This Agreement contains the entire agreement of the parties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matters covered herein and, as of the Effective Date, supersedes all prior and contemporaneous agreements and understandings, oral or written, between the parties hereto concerning the subject matter hereof (including, without limitation, the Prior Agreement), other than (x) that certain Indemnification Agreement, dated July 10, 2023, between the Company and the Employee or any other indemnification rights of the Employee that are in effect or outstanding as of the Effective Date, (y) equity award agreements that are in effect or outstanding as of the Effective Date (other than as such equity award agreements may be modified hereby), or (z) the terms of Employee’s Annual Bonus for the calendar year 2025. This Agreement may be amended only by a written instrument executed by both parties hereto.</w:t>
      </w:r>
    </w:p>
    <w:p>
      <w:pPr>
        <w:spacing w:after="0" w:line="181" w:lineRule="exact"/>
        <w:rPr>
          <w:rFonts w:ascii="Times New Roman" w:cs="Times New Roman" w:eastAsia="Times New Roman" w:hAnsi="Times New Roman"/>
          <w:sz w:val="22"/>
          <w:szCs w:val="22"/>
          <w:color w:val="010000"/>
        </w:rPr>
      </w:pPr>
    </w:p>
    <w:p>
      <w:pPr>
        <w:jc w:val="both"/>
        <w:ind w:firstLine="656"/>
        <w:spacing w:after="0" w:line="252" w:lineRule="auto"/>
        <w:tabs>
          <w:tab w:leader="none" w:pos="1161"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Enforcement</w:t>
      </w:r>
      <w:r>
        <w:rPr>
          <w:rFonts w:ascii="Times New Roman" w:cs="Times New Roman" w:eastAsia="Times New Roman" w:hAnsi="Times New Roman"/>
          <w:sz w:val="22"/>
          <w:szCs w:val="22"/>
          <w:color w:val="auto"/>
        </w:rPr>
        <w:t>. The parties hereto acknowledge that an award of damages for failure to comply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of this Agreement may not be an adequate remedy for the Company attempting to enforce or prevent the breach of such provisions, and accordingly the parties hereto authorize the Company to (in addition to any other remedies or relief to which it may be entitled) bring an action against Employee for a permanent or temporary injunction, to compel the specific performance or any other equitable remedy by Employee of their obligations to comply with, or prevent the breach of or remedy the breach of, such provisions without proof of actual damages.</w:t>
      </w:r>
    </w:p>
    <w:p>
      <w:pPr>
        <w:spacing w:after="0" w:line="188" w:lineRule="exact"/>
        <w:rPr>
          <w:rFonts w:ascii="Times New Roman" w:cs="Times New Roman" w:eastAsia="Times New Roman" w:hAnsi="Times New Roman"/>
          <w:sz w:val="22"/>
          <w:szCs w:val="22"/>
          <w:color w:val="010000"/>
        </w:rPr>
      </w:pPr>
    </w:p>
    <w:p>
      <w:pPr>
        <w:jc w:val="both"/>
        <w:ind w:firstLine="656"/>
        <w:spacing w:after="0" w:line="249" w:lineRule="auto"/>
        <w:tabs>
          <w:tab w:leader="none" w:pos="1174"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Waiver of Breach</w:t>
      </w:r>
      <w:r>
        <w:rPr>
          <w:rFonts w:ascii="Times New Roman" w:cs="Times New Roman" w:eastAsia="Times New Roman" w:hAnsi="Times New Roman"/>
          <w:sz w:val="22"/>
          <w:szCs w:val="22"/>
          <w:color w:val="auto"/>
        </w:rPr>
        <w:t>. Any waiver of this Agreement must be executed by the party to be bound by such waiver.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spacing w:after="0" w:line="193" w:lineRule="exact"/>
        <w:rPr>
          <w:rFonts w:ascii="Times New Roman" w:cs="Times New Roman" w:eastAsia="Times New Roman" w:hAnsi="Times New Roman"/>
          <w:sz w:val="22"/>
          <w:szCs w:val="22"/>
          <w:color w:val="010000"/>
        </w:rPr>
      </w:pPr>
    </w:p>
    <w:p>
      <w:pPr>
        <w:ind w:firstLine="656"/>
        <w:spacing w:after="0" w:line="275" w:lineRule="auto"/>
        <w:tabs>
          <w:tab w:leader="none" w:pos="1215"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This Agreement is personal to Employee, and neither this Agreement nor any rights or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shall be assignable or otherwise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51" w:name="page52"/>
    <w:bookmarkEnd w:id="51"/>
    <w:p>
      <w:pPr>
        <w:jc w:val="both"/>
        <w:spacing w:after="0" w:line="257" w:lineRule="auto"/>
        <w:rPr>
          <w:sz w:val="20"/>
          <w:szCs w:val="20"/>
          <w:color w:val="auto"/>
        </w:rPr>
      </w:pPr>
      <w:r>
        <w:rPr>
          <w:rFonts w:ascii="Times New Roman" w:cs="Times New Roman" w:eastAsia="Times New Roman" w:hAnsi="Times New Roman"/>
          <w:sz w:val="22"/>
          <w:szCs w:val="22"/>
          <w:color w:val="auto"/>
        </w:rPr>
        <w:t>by Employee. The Company may assign this Agreement without Employee’s consent, including to any member of the Company Group and to any successor (whether by merger, purchase or otherwise) to all or substantially all of the equity, assets or businesses of the Company.</w:t>
      </w:r>
    </w:p>
    <w:p>
      <w:pPr>
        <w:spacing w:after="0" w:line="182" w:lineRule="exact"/>
        <w:rPr>
          <w:sz w:val="20"/>
          <w:szCs w:val="20"/>
          <w:color w:val="auto"/>
        </w:rPr>
      </w:pPr>
    </w:p>
    <w:p>
      <w:pPr>
        <w:ind w:left="1160" w:hanging="504"/>
        <w:spacing w:after="0"/>
        <w:tabs>
          <w:tab w:leader="none" w:pos="1160" w:val="left"/>
        </w:tabs>
        <w:numPr>
          <w:ilvl w:val="1"/>
          <w:numId w:val="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Notices provided for in this Agreement shall be in writing and shall be deemed to have been duly received</w:t>
      </w:r>
    </w:p>
    <w:p>
      <w:pPr>
        <w:spacing w:after="0" w:line="43" w:lineRule="exact"/>
        <w:rPr>
          <w:rFonts w:ascii="Times New Roman" w:cs="Times New Roman" w:eastAsia="Times New Roman" w:hAnsi="Times New Roman"/>
          <w:sz w:val="21"/>
          <w:szCs w:val="21"/>
          <w:color w:val="010000"/>
        </w:rPr>
      </w:pPr>
    </w:p>
    <w:p>
      <w:pPr>
        <w:jc w:val="both"/>
        <w:ind w:firstLine="8"/>
        <w:spacing w:after="0" w:line="245" w:lineRule="auto"/>
        <w:tabs>
          <w:tab w:leader="none" w:pos="29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If to the Company, addressed to:</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Talen Energy Corporation</w:t>
      </w:r>
    </w:p>
    <w:p>
      <w:pPr>
        <w:ind w:left="1300"/>
        <w:spacing w:after="0" w:line="211" w:lineRule="auto"/>
        <w:rPr>
          <w:sz w:val="20"/>
          <w:szCs w:val="20"/>
          <w:color w:val="auto"/>
        </w:rPr>
      </w:pPr>
      <w:r>
        <w:rPr>
          <w:rFonts w:ascii="Times New Roman" w:cs="Times New Roman" w:eastAsia="Times New Roman" w:hAnsi="Times New Roman"/>
          <w:sz w:val="22"/>
          <w:szCs w:val="22"/>
          <w:color w:val="auto"/>
        </w:rPr>
        <w:t>2929 Allen Parkway,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Texas 77019</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Board of Directors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If to Employee, addressed to:</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Terry Nutt</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[Address redacted]</w:t>
      </w:r>
    </w:p>
    <w:p>
      <w:pPr>
        <w:spacing w:after="0" w:line="2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 if different, the latest address on file with the Company</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56"/>
        <w:spacing w:after="0" w:line="258" w:lineRule="auto"/>
        <w:tabs>
          <w:tab w:leader="none" w:pos="1215" w:val="left"/>
        </w:tabs>
        <w:numPr>
          <w:ilvl w:val="1"/>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including by electronic mail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67" w:lineRule="exact"/>
        <w:rPr>
          <w:rFonts w:ascii="Times New Roman" w:cs="Times New Roman" w:eastAsia="Times New Roman" w:hAnsi="Times New Roman"/>
          <w:sz w:val="22"/>
          <w:szCs w:val="22"/>
          <w:color w:val="010000"/>
        </w:rPr>
      </w:pPr>
    </w:p>
    <w:p>
      <w:pPr>
        <w:jc w:val="both"/>
        <w:ind w:firstLine="656"/>
        <w:spacing w:after="0" w:line="250" w:lineRule="auto"/>
        <w:tabs>
          <w:tab w:leader="none" w:pos="1269" w:val="left"/>
        </w:tabs>
        <w:numPr>
          <w:ilvl w:val="1"/>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Deemed Resignations</w:t>
      </w:r>
      <w:r>
        <w:rPr>
          <w:rFonts w:ascii="Times New Roman" w:cs="Times New Roman" w:eastAsia="Times New Roman" w:hAnsi="Times New Roman"/>
          <w:sz w:val="22"/>
          <w:szCs w:val="22"/>
          <w:color w:val="auto"/>
        </w:rPr>
        <w:t>. Except as otherwise determined by the Board or as otherwise agreed to in writing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w:t>
      </w:r>
    </w:p>
    <w:p>
      <w:pPr>
        <w:spacing w:after="0" w:line="1" w:lineRule="exact"/>
        <w:rPr>
          <w:rFonts w:ascii="Times New Roman" w:cs="Times New Roman" w:eastAsia="Times New Roman" w:hAnsi="Times New Roman"/>
          <w:sz w:val="22"/>
          <w:szCs w:val="22"/>
          <w:color w:val="010000"/>
        </w:rPr>
      </w:pPr>
    </w:p>
    <w:p>
      <w:pPr>
        <w:jc w:val="both"/>
        <w:ind w:firstLine="8"/>
        <w:spacing w:after="0" w:line="247" w:lineRule="auto"/>
        <w:tabs>
          <w:tab w:leader="none" w:pos="29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w:t>
      </w:r>
    </w:p>
    <w:p>
      <w:pPr>
        <w:spacing w:after="0" w:line="180"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010000"/>
        </w:rPr>
      </w:pPr>
    </w:p>
    <w:p>
      <w:pPr>
        <w:ind w:firstLine="1304"/>
        <w:spacing w:after="0" w:line="271" w:lineRule="auto"/>
        <w:tabs>
          <w:tab w:leader="none" w:pos="1900" w:val="left"/>
        </w:tabs>
        <w:numPr>
          <w:ilvl w:val="2"/>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provision of this Agreement to the contrary, all provisions of this Agreement are intended to comply with Section 409A of the Code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52" w:name="page53"/>
    <w:bookmarkEnd w:id="52"/>
    <w:p>
      <w:pPr>
        <w:jc w:val="both"/>
        <w:spacing w:after="0" w:line="250" w:lineRule="auto"/>
        <w:rPr>
          <w:sz w:val="20"/>
          <w:szCs w:val="20"/>
          <w:color w:val="auto"/>
        </w:rPr>
      </w:pPr>
      <w:r>
        <w:rPr>
          <w:rFonts w:ascii="Times New Roman" w:cs="Times New Roman" w:eastAsia="Times New Roman" w:hAnsi="Times New Roman"/>
          <w:sz w:val="22"/>
          <w:szCs w:val="22"/>
          <w:color w:val="auto"/>
        </w:rPr>
        <w:t>applicable Treasury regulations and administrative guidance issued thereunder (collectively,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w:t>
      </w:r>
    </w:p>
    <w:p>
      <w:pPr>
        <w:spacing w:after="0" w:line="180" w:lineRule="exact"/>
        <w:rPr>
          <w:sz w:val="20"/>
          <w:szCs w:val="20"/>
          <w:color w:val="auto"/>
        </w:rPr>
      </w:pPr>
    </w:p>
    <w:p>
      <w:pPr>
        <w:jc w:val="both"/>
        <w:ind w:firstLine="1304"/>
        <w:spacing w:after="0" w:line="250" w:lineRule="auto"/>
        <w:tabs>
          <w:tab w:leader="none" w:pos="1872" w:val="left"/>
        </w:tabs>
        <w:numPr>
          <w:ilvl w:val="1"/>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foregoing clause shall not be violated with regard to expenses reimbursed under any arrangement covered by Section 105(b) of the Code solely because such expenses are subject to a limit related to the period in which the arrangement is in effect.</w:t>
      </w:r>
    </w:p>
    <w:p>
      <w:pPr>
        <w:spacing w:after="0" w:line="179"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846" w:val="left"/>
        </w:tabs>
        <w:numPr>
          <w:ilvl w:val="1"/>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provision in this Agreement to the contrary, if any payment or benefit provided for herein would be subject to additional taxes and interest under Section 409A if Employee’s receipt of such payment or benefit is not delayed until the earlier of the date of Employee’s death or the date that is six (6) months after the Termination Date (such date, the “</w:t>
      </w:r>
      <w:r>
        <w:rPr>
          <w:rFonts w:ascii="Times New Roman" w:cs="Times New Roman" w:eastAsia="Times New Roman" w:hAnsi="Times New Roman"/>
          <w:sz w:val="22"/>
          <w:szCs w:val="22"/>
          <w:u w:val="single" w:color="auto"/>
          <w:color w:val="auto"/>
        </w:rPr>
        <w:t>Section 409A Payment Date</w:t>
      </w:r>
      <w:r>
        <w:rPr>
          <w:rFonts w:ascii="Times New Roman" w:cs="Times New Roman" w:eastAsia="Times New Roman" w:hAnsi="Times New Roman"/>
          <w:sz w:val="22"/>
          <w:szCs w:val="22"/>
          <w:color w:val="auto"/>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spacing w:after="0" w:line="191"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228"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Effect of Termination</w:t>
      </w:r>
      <w:r>
        <w:rPr>
          <w:rFonts w:ascii="Times New Roman" w:cs="Times New Roman" w:eastAsia="Times New Roman" w:hAnsi="Times New Roman"/>
          <w:sz w:val="22"/>
          <w:szCs w:val="22"/>
          <w:color w:val="auto"/>
        </w:rPr>
        <w:t>.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7(a)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8-15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20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those provisions necessary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 and enforce them, shall survive any termination of this Agreement and any termination of the employment relationship between Employee and the Company.</w:t>
      </w:r>
    </w:p>
    <w:p>
      <w:pPr>
        <w:spacing w:after="0" w:line="166"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147"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Each member of the Company Group that is not a signatory to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third-party beneficiary of Employee’s obligations under </w:t>
      </w:r>
      <w:r>
        <w:rPr>
          <w:rFonts w:ascii="Times New Roman" w:cs="Times New Roman" w:eastAsia="Times New Roman" w:hAnsi="Times New Roman"/>
          <w:sz w:val="22"/>
          <w:szCs w:val="22"/>
          <w:u w:val="single" w:color="auto"/>
          <w:color w:val="auto"/>
        </w:rPr>
        <w:t>Sections 7-15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and shall be entitled to enforce such obligations as if a party hereto.</w:t>
      </w:r>
    </w:p>
    <w:p>
      <w:pPr>
        <w:spacing w:after="0" w:line="179"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174"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Certain Excise Taxes</w:t>
      </w:r>
      <w:r>
        <w:rPr>
          <w:rFonts w:ascii="Times New Roman" w:cs="Times New Roman" w:eastAsia="Times New Roman" w:hAnsi="Times New Roman"/>
          <w:sz w:val="22"/>
          <w:szCs w:val="22"/>
          <w:color w:val="auto"/>
        </w:rPr>
        <w:t>. Notwithstanding anything to the contrary in this Agreement, if Employee is a “disqualified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(as defined in Section 280G(c) of the Code), and the benefits provided for in this Agreement, together with any other payments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53" w:name="page54"/>
    <w:bookmarkEnd w:id="53"/>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benefits which Employee has the right to receive from the Company and its affiliates, would constitute a “parachute payment” (as defined in Section 280G(b)(2) of the Code), then the 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shall require the Company to be responsible for, or have any liability or obligation with respect to, Employee’s excise tax liabilities under Section 4999 of the Code.</w:t>
      </w:r>
    </w:p>
    <w:p>
      <w:pPr>
        <w:spacing w:after="0" w:line="181" w:lineRule="exact"/>
        <w:rPr>
          <w:sz w:val="20"/>
          <w:szCs w:val="20"/>
          <w:color w:val="auto"/>
        </w:rPr>
      </w:pPr>
    </w:p>
    <w:p>
      <w:pPr>
        <w:jc w:val="both"/>
        <w:ind w:firstLine="656"/>
        <w:spacing w:after="0" w:line="253" w:lineRule="auto"/>
        <w:tabs>
          <w:tab w:leader="none" w:pos="1147"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 arbitrator or court of competent jurisdiction determines that any provision of this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Blank;</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54" w:name="page55"/>
    <w:bookmarkEnd w:id="54"/>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Employee and the Company each have caused this Agreement to be executed and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Effective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Terry L. Nutt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0267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Terry Nutt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6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TALEN ENERGY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Andrew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1160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 Andrew Wright</w:t>
      </w:r>
    </w:p>
    <w:p>
      <w:pPr>
        <w:spacing w:after="0" w:line="1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Title: 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EMPLOYMENT AGREEMENT</w:t>
      </w:r>
    </w:p>
    <w:p>
      <w:pPr>
        <w:sectPr>
          <w:pgSz w:w="11900" w:h="16838" w:orient="portrait"/>
          <w:cols w:equalWidth="0" w:num="1">
            <w:col w:w="11240"/>
          </w:cols>
          <w:pgMar w:left="320" w:top="1418" w:right="33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253"/>
        </w:trPr>
        <w:tc>
          <w:tcPr>
            <w:tcW w:w="3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A</w:t>
            </w:r>
          </w:p>
        </w:tc>
        <w:tc>
          <w:tcPr>
            <w:tcW w:w="5060" w:type="dxa"/>
            <w:vAlign w:val="bottom"/>
            <w:gridSpan w:val="6"/>
          </w:tcPr>
          <w:p>
            <w:pPr>
              <w:spacing w:after="0"/>
              <w:rPr>
                <w:sz w:val="22"/>
                <w:szCs w:val="22"/>
                <w:color w:val="auto"/>
              </w:rPr>
            </w:pPr>
          </w:p>
        </w:tc>
      </w:tr>
      <w:tr>
        <w:trPr>
          <w:trHeight w:val="493"/>
        </w:trPr>
        <w:tc>
          <w:tcPr>
            <w:tcW w:w="3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LTIP TERM SHEET: 2026 AWARDS</w:t>
            </w:r>
          </w:p>
        </w:tc>
        <w:tc>
          <w:tcPr>
            <w:tcW w:w="3900" w:type="dxa"/>
            <w:vAlign w:val="bottom"/>
            <w:gridSpan w:val="4"/>
          </w:tcPr>
          <w:p>
            <w:pPr>
              <w:spacing w:after="0"/>
              <w:rPr>
                <w:sz w:val="24"/>
                <w:szCs w:val="24"/>
                <w:color w:val="auto"/>
              </w:rPr>
            </w:pPr>
          </w:p>
        </w:tc>
      </w:tr>
      <w:tr>
        <w:trPr>
          <w:trHeight w:val="277"/>
        </w:trPr>
        <w:tc>
          <w:tcPr>
            <w:tcW w:w="3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gridSpan w:val="2"/>
          </w:tcPr>
          <w:p>
            <w:pPr>
              <w:spacing w:after="0"/>
              <w:rPr>
                <w:sz w:val="24"/>
                <w:szCs w:val="24"/>
                <w:color w:val="auto"/>
              </w:rPr>
            </w:pPr>
          </w:p>
        </w:tc>
        <w:tc>
          <w:tcPr>
            <w:tcW w:w="148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59"/>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Target Award Amount</w:t>
            </w: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Awards consisting of (i) ordinary-course grants with a grant date fair value equal to</w:t>
            </w:r>
          </w:p>
        </w:tc>
      </w:tr>
      <w:tr>
        <w:trPr>
          <w:trHeight w:val="234"/>
        </w:trPr>
        <w:tc>
          <w:tcPr>
            <w:tcW w:w="3320" w:type="dxa"/>
            <w:vAlign w:val="bottom"/>
            <w:tcBorders>
              <w:left w:val="single" w:sz="8" w:color="auto"/>
              <w:right w:val="single" w:sz="8" w:color="auto"/>
            </w:tcBorders>
          </w:tcPr>
          <w:p>
            <w:pPr>
              <w:spacing w:after="0"/>
              <w:rPr>
                <w:sz w:val="20"/>
                <w:szCs w:val="20"/>
                <w:color w:val="auto"/>
              </w:rPr>
            </w:pPr>
          </w:p>
        </w:tc>
        <w:tc>
          <w:tcPr>
            <w:tcW w:w="7940" w:type="dxa"/>
            <w:vAlign w:val="bottom"/>
            <w:tcBorders>
              <w:right w:val="single" w:sz="8" w:color="auto"/>
            </w:tcBorders>
            <w:gridSpan w:val="11"/>
          </w:tcPr>
          <w:p>
            <w:pPr>
              <w:ind w:left="500"/>
              <w:spacing w:after="0" w:line="233" w:lineRule="exact"/>
              <w:rPr>
                <w:sz w:val="20"/>
                <w:szCs w:val="20"/>
                <w:color w:val="auto"/>
              </w:rPr>
            </w:pPr>
            <w:r>
              <w:rPr>
                <w:rFonts w:ascii="Times New Roman" w:cs="Times New Roman" w:eastAsia="Times New Roman" w:hAnsi="Times New Roman"/>
                <w:sz w:val="22"/>
                <w:szCs w:val="22"/>
                <w:color w:val="auto"/>
                <w:w w:val="99"/>
              </w:rPr>
              <w:t xml:space="preserve">100% of Employee’s LTIP target (the “Standard Awards”) </w:t>
            </w:r>
            <w:r>
              <w:rPr>
                <w:rFonts w:ascii="Times New Roman" w:cs="Times New Roman" w:eastAsia="Times New Roman" w:hAnsi="Times New Roman"/>
                <w:sz w:val="22"/>
                <w:szCs w:val="22"/>
                <w:i w:val="1"/>
                <w:iCs w:val="1"/>
                <w:color w:val="auto"/>
                <w:w w:val="99"/>
              </w:rPr>
              <w:t>plus</w:t>
            </w:r>
            <w:r>
              <w:rPr>
                <w:rFonts w:ascii="Times New Roman" w:cs="Times New Roman" w:eastAsia="Times New Roman" w:hAnsi="Times New Roman"/>
                <w:sz w:val="22"/>
                <w:szCs w:val="22"/>
                <w:color w:val="auto"/>
                <w:w w:val="99"/>
              </w:rPr>
              <w:t xml:space="preserve"> (ii) a one-time grant</w:t>
            </w:r>
          </w:p>
        </w:tc>
      </w:tr>
      <w:tr>
        <w:trPr>
          <w:trHeight w:val="20"/>
        </w:trPr>
        <w:tc>
          <w:tcPr>
            <w:tcW w:w="3320" w:type="dxa"/>
            <w:vAlign w:val="bottom"/>
            <w:tcBorders>
              <w:left w:val="single" w:sz="8" w:color="auto"/>
              <w:right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263"/>
        </w:trPr>
        <w:tc>
          <w:tcPr>
            <w:tcW w:w="3320" w:type="dxa"/>
            <w:vAlign w:val="bottom"/>
            <w:tcBorders>
              <w:left w:val="single" w:sz="8" w:color="auto"/>
              <w:right w:val="single" w:sz="8" w:color="auto"/>
            </w:tcBorders>
          </w:tcPr>
          <w:p>
            <w:pPr>
              <w:spacing w:after="0"/>
              <w:rPr>
                <w:sz w:val="22"/>
                <w:szCs w:val="22"/>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of awards with a grant date fair value equal to 67% of Employee’s LTIP target (the</w:t>
            </w:r>
          </w:p>
        </w:tc>
      </w:tr>
      <w:tr>
        <w:trPr>
          <w:trHeight w:val="230"/>
        </w:trPr>
        <w:tc>
          <w:tcPr>
            <w:tcW w:w="3320" w:type="dxa"/>
            <w:vAlign w:val="bottom"/>
            <w:tcBorders>
              <w:left w:val="single" w:sz="8" w:color="auto"/>
              <w:right w:val="single" w:sz="8" w:color="auto"/>
            </w:tcBorders>
          </w:tcPr>
          <w:p>
            <w:pPr>
              <w:spacing w:after="0"/>
              <w:rPr>
                <w:sz w:val="19"/>
                <w:szCs w:val="19"/>
                <w:color w:val="auto"/>
              </w:rPr>
            </w:pPr>
          </w:p>
        </w:tc>
        <w:tc>
          <w:tcPr>
            <w:tcW w:w="7940" w:type="dxa"/>
            <w:vAlign w:val="bottom"/>
            <w:tcBorders>
              <w:right w:val="single" w:sz="8" w:color="auto"/>
            </w:tcBorders>
            <w:gridSpan w:val="11"/>
          </w:tcPr>
          <w:p>
            <w:pPr>
              <w:ind w:left="500"/>
              <w:spacing w:after="0" w:line="230" w:lineRule="exact"/>
              <w:rPr>
                <w:sz w:val="20"/>
                <w:szCs w:val="20"/>
                <w:color w:val="auto"/>
              </w:rPr>
            </w:pPr>
            <w:r>
              <w:rPr>
                <w:rFonts w:ascii="Times New Roman" w:cs="Times New Roman" w:eastAsia="Times New Roman" w:hAnsi="Times New Roman"/>
                <w:sz w:val="22"/>
                <w:szCs w:val="22"/>
                <w:color w:val="auto"/>
              </w:rPr>
              <w:t>“True-Up Awards” and, together with the Standard Awards, the “2026 Awards”).</w:t>
            </w:r>
          </w:p>
        </w:tc>
      </w:tr>
      <w:tr>
        <w:trPr>
          <w:trHeight w:val="169"/>
        </w:trPr>
        <w:tc>
          <w:tcPr>
            <w:tcW w:w="3320" w:type="dxa"/>
            <w:vAlign w:val="bottom"/>
            <w:tcBorders>
              <w:left w:val="single" w:sz="8" w:color="auto"/>
              <w:bottom w:val="single" w:sz="8" w:color="auto"/>
              <w:right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r>
      <w:tr>
        <w:trPr>
          <w:trHeight w:val="26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PSU/RSU Allocation</w:t>
            </w: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Standard Awards and True-Up Awards to each consist of no more than 70% PSUs,</w:t>
            </w:r>
          </w:p>
        </w:tc>
      </w:tr>
      <w:tr>
        <w:trPr>
          <w:trHeight w:val="282"/>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with remaining 2026 Awards being RSUs.</w:t>
            </w:r>
          </w:p>
        </w:tc>
      </w:tr>
      <w:tr>
        <w:trPr>
          <w:trHeight w:val="339"/>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PSUs to have 3% “kicker” (and terms consistent with prior awards, including 30-day</w:t>
            </w:r>
          </w:p>
        </w:tc>
      </w:tr>
      <w:tr>
        <w:trPr>
          <w:trHeight w:val="282"/>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VWAP of Company common stock used to determine CAGR achievement).</w:t>
            </w:r>
          </w:p>
        </w:tc>
      </w:tr>
      <w:tr>
        <w:trPr>
          <w:trHeight w:val="137"/>
        </w:trPr>
        <w:tc>
          <w:tcPr>
            <w:tcW w:w="3320" w:type="dxa"/>
            <w:vAlign w:val="bottom"/>
            <w:tcBorders>
              <w:left w:val="single" w:sz="8" w:color="auto"/>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1440" w:type="dxa"/>
            <w:vAlign w:val="bottom"/>
            <w:tcBorders>
              <w:bottom w:val="single" w:sz="8" w:color="auto"/>
            </w:tcBorders>
            <w:gridSpan w:val="2"/>
          </w:tcPr>
          <w:p>
            <w:pPr>
              <w:spacing w:after="0"/>
              <w:rPr>
                <w:sz w:val="11"/>
                <w:szCs w:val="11"/>
                <w:color w:val="auto"/>
              </w:rPr>
            </w:pPr>
          </w:p>
        </w:tc>
        <w:tc>
          <w:tcPr>
            <w:tcW w:w="1840" w:type="dxa"/>
            <w:vAlign w:val="bottom"/>
            <w:tcBorders>
              <w:bottom w:val="single" w:sz="8" w:color="auto"/>
            </w:tcBorders>
            <w:gridSpan w:val="2"/>
          </w:tcPr>
          <w:p>
            <w:pPr>
              <w:spacing w:after="0"/>
              <w:rPr>
                <w:sz w:val="11"/>
                <w:szCs w:val="11"/>
                <w:color w:val="auto"/>
              </w:rPr>
            </w:pPr>
          </w:p>
        </w:tc>
        <w:tc>
          <w:tcPr>
            <w:tcW w:w="1480" w:type="dxa"/>
            <w:vAlign w:val="bottom"/>
            <w:tcBorders>
              <w:bottom w:val="single" w:sz="8" w:color="auto"/>
            </w:tcBorders>
            <w:gridSpan w:val="2"/>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r>
      <w:tr>
        <w:trPr>
          <w:trHeight w:val="289"/>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Vesting Term</w:t>
            </w: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Standard Awards to have a three-year term.</w:t>
            </w:r>
          </w:p>
        </w:tc>
      </w:tr>
      <w:tr>
        <w:trPr>
          <w:trHeight w:val="364"/>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True-Up Awards to have a two-year term.</w:t>
            </w:r>
          </w:p>
        </w:tc>
      </w:tr>
      <w:tr>
        <w:trPr>
          <w:trHeight w:val="123"/>
        </w:trPr>
        <w:tc>
          <w:tcPr>
            <w:tcW w:w="3320" w:type="dxa"/>
            <w:vAlign w:val="bottom"/>
            <w:tcBorders>
              <w:left w:val="single" w:sz="8" w:color="auto"/>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gridSpan w:val="2"/>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840" w:type="dxa"/>
            <w:vAlign w:val="bottom"/>
            <w:tcBorders>
              <w:bottom w:val="single" w:sz="8" w:color="auto"/>
            </w:tcBorders>
            <w:gridSpan w:val="2"/>
          </w:tcPr>
          <w:p>
            <w:pPr>
              <w:spacing w:after="0"/>
              <w:rPr>
                <w:sz w:val="10"/>
                <w:szCs w:val="10"/>
                <w:color w:val="auto"/>
              </w:rPr>
            </w:pPr>
          </w:p>
        </w:tc>
        <w:tc>
          <w:tcPr>
            <w:tcW w:w="1480" w:type="dxa"/>
            <w:vAlign w:val="bottom"/>
            <w:tcBorders>
              <w:bottom w:val="single" w:sz="8" w:color="auto"/>
            </w:tcBorders>
            <w:gridSpan w:val="2"/>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r>
      <w:tr>
        <w:trPr>
          <w:trHeight w:val="289"/>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Vesting Mechanics</w:t>
            </w: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RSUs: Ratably on each anniversary of grant.</w:t>
            </w:r>
          </w:p>
        </w:tc>
      </w:tr>
      <w:tr>
        <w:trPr>
          <w:trHeight w:val="364"/>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PSUs: Cliff-vesting at end of term.</w:t>
            </w:r>
          </w:p>
        </w:tc>
      </w:tr>
      <w:tr>
        <w:trPr>
          <w:trHeight w:val="123"/>
        </w:trPr>
        <w:tc>
          <w:tcPr>
            <w:tcW w:w="3320" w:type="dxa"/>
            <w:vAlign w:val="bottom"/>
            <w:tcBorders>
              <w:left w:val="single" w:sz="8" w:color="auto"/>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gridSpan w:val="2"/>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840" w:type="dxa"/>
            <w:vAlign w:val="bottom"/>
            <w:tcBorders>
              <w:bottom w:val="single" w:sz="8" w:color="auto"/>
            </w:tcBorders>
            <w:gridSpan w:val="2"/>
          </w:tcPr>
          <w:p>
            <w:pPr>
              <w:spacing w:after="0"/>
              <w:rPr>
                <w:sz w:val="10"/>
                <w:szCs w:val="10"/>
                <w:color w:val="auto"/>
              </w:rPr>
            </w:pPr>
          </w:p>
        </w:tc>
        <w:tc>
          <w:tcPr>
            <w:tcW w:w="1480" w:type="dxa"/>
            <w:vAlign w:val="bottom"/>
            <w:tcBorders>
              <w:bottom w:val="single" w:sz="8" w:color="auto"/>
            </w:tcBorders>
            <w:gridSpan w:val="2"/>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r>
      <w:tr>
        <w:trPr>
          <w:trHeight w:val="26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PSU Payout Mechanics</w:t>
            </w: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PSUs vesting based on the achievement of 5% (50% of target PSUs), 7.5% (100% of</w:t>
            </w:r>
          </w:p>
        </w:tc>
      </w:tr>
      <w:tr>
        <w:trPr>
          <w:trHeight w:val="257"/>
        </w:trPr>
        <w:tc>
          <w:tcPr>
            <w:tcW w:w="3320" w:type="dxa"/>
            <w:vAlign w:val="bottom"/>
            <w:tcBorders>
              <w:left w:val="single" w:sz="8" w:color="auto"/>
              <w:right w:val="single" w:sz="8" w:color="auto"/>
            </w:tcBorders>
          </w:tcPr>
          <w:p>
            <w:pPr>
              <w:spacing w:after="0"/>
              <w:rPr>
                <w:sz w:val="22"/>
                <w:szCs w:val="22"/>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target PSUs) and 10% (200% of target PSUs) CAGR, respectively (and terms</w:t>
            </w:r>
          </w:p>
        </w:tc>
      </w:tr>
      <w:tr>
        <w:trPr>
          <w:trHeight w:val="282"/>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consistent with prior awards, including regarding interpolation).</w:t>
            </w:r>
          </w:p>
        </w:tc>
      </w:tr>
      <w:tr>
        <w:trPr>
          <w:trHeight w:val="364"/>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10-day VWAP of Company common stock used to determine CAGR achievement.</w:t>
            </w:r>
          </w:p>
        </w:tc>
      </w:tr>
      <w:tr>
        <w:trPr>
          <w:trHeight w:val="137"/>
        </w:trPr>
        <w:tc>
          <w:tcPr>
            <w:tcW w:w="3320" w:type="dxa"/>
            <w:vAlign w:val="bottom"/>
            <w:tcBorders>
              <w:left w:val="single" w:sz="8" w:color="auto"/>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1440" w:type="dxa"/>
            <w:vAlign w:val="bottom"/>
            <w:tcBorders>
              <w:bottom w:val="single" w:sz="8" w:color="auto"/>
            </w:tcBorders>
            <w:gridSpan w:val="2"/>
          </w:tcPr>
          <w:p>
            <w:pPr>
              <w:spacing w:after="0"/>
              <w:rPr>
                <w:sz w:val="11"/>
                <w:szCs w:val="11"/>
                <w:color w:val="auto"/>
              </w:rPr>
            </w:pPr>
          </w:p>
        </w:tc>
        <w:tc>
          <w:tcPr>
            <w:tcW w:w="1840" w:type="dxa"/>
            <w:vAlign w:val="bottom"/>
            <w:tcBorders>
              <w:bottom w:val="single" w:sz="8" w:color="auto"/>
            </w:tcBorders>
            <w:gridSpan w:val="2"/>
          </w:tcPr>
          <w:p>
            <w:pPr>
              <w:spacing w:after="0"/>
              <w:rPr>
                <w:sz w:val="11"/>
                <w:szCs w:val="11"/>
                <w:color w:val="auto"/>
              </w:rPr>
            </w:pPr>
          </w:p>
        </w:tc>
        <w:tc>
          <w:tcPr>
            <w:tcW w:w="1480" w:type="dxa"/>
            <w:vAlign w:val="bottom"/>
            <w:tcBorders>
              <w:bottom w:val="single" w:sz="8" w:color="auto"/>
            </w:tcBorders>
            <w:gridSpan w:val="2"/>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r>
      <w:tr>
        <w:trPr>
          <w:trHeight w:val="26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Good Leaver Vesting</w:t>
            </w: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Pro-rata vesting. For RSUs, vesting occurs immediately; for PSUs, vesting occurs at</w:t>
            </w:r>
          </w:p>
        </w:tc>
      </w:tr>
      <w:tr>
        <w:trPr>
          <w:trHeight w:val="282"/>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end of performance period based on actual performance.</w:t>
            </w:r>
          </w:p>
        </w:tc>
      </w:tr>
      <w:tr>
        <w:trPr>
          <w:trHeight w:val="123"/>
        </w:trPr>
        <w:tc>
          <w:tcPr>
            <w:tcW w:w="3320" w:type="dxa"/>
            <w:vAlign w:val="bottom"/>
            <w:tcBorders>
              <w:left w:val="single" w:sz="8" w:color="auto"/>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gridSpan w:val="2"/>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840" w:type="dxa"/>
            <w:vAlign w:val="bottom"/>
            <w:tcBorders>
              <w:bottom w:val="single" w:sz="8" w:color="auto"/>
            </w:tcBorders>
            <w:gridSpan w:val="2"/>
          </w:tcPr>
          <w:p>
            <w:pPr>
              <w:spacing w:after="0"/>
              <w:rPr>
                <w:sz w:val="10"/>
                <w:szCs w:val="10"/>
                <w:color w:val="auto"/>
              </w:rPr>
            </w:pPr>
          </w:p>
        </w:tc>
        <w:tc>
          <w:tcPr>
            <w:tcW w:w="1480" w:type="dxa"/>
            <w:vAlign w:val="bottom"/>
            <w:tcBorders>
              <w:bottom w:val="single" w:sz="8" w:color="auto"/>
            </w:tcBorders>
            <w:gridSpan w:val="2"/>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r>
      <w:tr>
        <w:trPr>
          <w:trHeight w:val="26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Death/Disability Vesting</w:t>
            </w: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Pro-rata vesting. For RSUs, vesting occurs immediately; for PSUs, vesting occurs at</w:t>
            </w:r>
          </w:p>
        </w:tc>
      </w:tr>
      <w:tr>
        <w:trPr>
          <w:trHeight w:val="282"/>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end of performance period based on actual performance.</w:t>
            </w:r>
          </w:p>
        </w:tc>
      </w:tr>
      <w:tr>
        <w:trPr>
          <w:trHeight w:val="123"/>
        </w:trPr>
        <w:tc>
          <w:tcPr>
            <w:tcW w:w="3320" w:type="dxa"/>
            <w:vAlign w:val="bottom"/>
            <w:tcBorders>
              <w:left w:val="single" w:sz="8" w:color="auto"/>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gridSpan w:val="2"/>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840" w:type="dxa"/>
            <w:vAlign w:val="bottom"/>
            <w:tcBorders>
              <w:bottom w:val="single" w:sz="8" w:color="auto"/>
            </w:tcBorders>
            <w:gridSpan w:val="2"/>
          </w:tcPr>
          <w:p>
            <w:pPr>
              <w:spacing w:after="0"/>
              <w:rPr>
                <w:sz w:val="10"/>
                <w:szCs w:val="10"/>
                <w:color w:val="auto"/>
              </w:rPr>
            </w:pPr>
          </w:p>
        </w:tc>
        <w:tc>
          <w:tcPr>
            <w:tcW w:w="1480" w:type="dxa"/>
            <w:vAlign w:val="bottom"/>
            <w:tcBorders>
              <w:bottom w:val="single" w:sz="8" w:color="auto"/>
            </w:tcBorders>
            <w:gridSpan w:val="2"/>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r>
      <w:tr>
        <w:trPr>
          <w:trHeight w:val="26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Change in Control Vesting</w:t>
            </w: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2026 Awards vest in full if awards are not assumed (with PSU performance</w:t>
            </w:r>
          </w:p>
        </w:tc>
      </w:tr>
      <w:tr>
        <w:trPr>
          <w:trHeight w:val="282"/>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determined based on the Change in Control price).</w:t>
            </w:r>
          </w:p>
        </w:tc>
      </w:tr>
      <w:tr>
        <w:trPr>
          <w:trHeight w:val="339"/>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If 2026 Awards are assumed, to be subject to double-trigger accelerated vesting on a</w:t>
            </w:r>
          </w:p>
        </w:tc>
      </w:tr>
      <w:tr>
        <w:trPr>
          <w:trHeight w:val="257"/>
        </w:trPr>
        <w:tc>
          <w:tcPr>
            <w:tcW w:w="3320" w:type="dxa"/>
            <w:vAlign w:val="bottom"/>
            <w:tcBorders>
              <w:left w:val="single" w:sz="8" w:color="auto"/>
              <w:right w:val="single" w:sz="8" w:color="auto"/>
            </w:tcBorders>
          </w:tcPr>
          <w:p>
            <w:pPr>
              <w:spacing w:after="0"/>
              <w:rPr>
                <w:sz w:val="22"/>
                <w:szCs w:val="22"/>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termination without Cause or resignation for Good Reason that occurs within 18</w:t>
            </w:r>
          </w:p>
        </w:tc>
      </w:tr>
      <w:tr>
        <w:trPr>
          <w:trHeight w:val="270"/>
        </w:trPr>
        <w:tc>
          <w:tcPr>
            <w:tcW w:w="3320" w:type="dxa"/>
            <w:vAlign w:val="bottom"/>
            <w:tcBorders>
              <w:left w:val="single" w:sz="8" w:color="auto"/>
              <w:right w:val="single" w:sz="8" w:color="auto"/>
            </w:tcBorders>
          </w:tcPr>
          <w:p>
            <w:pPr>
              <w:spacing w:after="0"/>
              <w:rPr>
                <w:sz w:val="23"/>
                <w:szCs w:val="23"/>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months following a Change in Control (with PSU performance determined as of the</w:t>
            </w:r>
          </w:p>
        </w:tc>
      </w:tr>
      <w:tr>
        <w:trPr>
          <w:trHeight w:val="282"/>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end of the applicable performance period).</w:t>
            </w:r>
          </w:p>
        </w:tc>
      </w:tr>
      <w:tr>
        <w:trPr>
          <w:trHeight w:val="123"/>
        </w:trPr>
        <w:tc>
          <w:tcPr>
            <w:tcW w:w="3320" w:type="dxa"/>
            <w:vAlign w:val="bottom"/>
            <w:tcBorders>
              <w:left w:val="single" w:sz="8" w:color="auto"/>
              <w:bottom w:val="single" w:sz="8" w:color="auto"/>
              <w:right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r>
    </w:tbl>
    <w:p>
      <w:pPr>
        <w:sectPr>
          <w:pgSz w:w="11900" w:h="16838" w:orient="portrait"/>
          <w:cols w:equalWidth="0" w:num="1">
            <w:col w:w="11260"/>
          </w:cols>
          <w:pgMar w:left="320" w:top="1399" w:right="3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Amended and Restated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by and between Talen Energy Corporation,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Cole Muller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as of December 12,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Employee and the Company entered into an employment agreement, effective as of July 7, 2023 (the “</w:t>
      </w:r>
      <w:r>
        <w:rPr>
          <w:rFonts w:ascii="Times New Roman" w:cs="Times New Roman" w:eastAsia="Times New Roman" w:hAnsi="Times New Roman"/>
          <w:sz w:val="22"/>
          <w:szCs w:val="22"/>
          <w:u w:val="single" w:color="auto"/>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WHEREAS, Employee and the Company mutually desire that Employee continue to provide services to the Company and its affiliates on the terms set forth in this Agreement, which replaces and supersedes in its entirety the Prior Agreement as of the Effective Date.</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such employment and the mutual covenants and promises herein contained, and for other good and valuable consideration, the receipt and sufficiency of which are hereby acknowledged, the Company and Employee agree as follows:</w:t>
      </w:r>
    </w:p>
    <w:p>
      <w:pPr>
        <w:spacing w:after="0" w:line="169" w:lineRule="exact"/>
        <w:rPr>
          <w:sz w:val="20"/>
          <w:szCs w:val="20"/>
          <w:color w:val="auto"/>
        </w:rPr>
      </w:pPr>
    </w:p>
    <w:p>
      <w:pPr>
        <w:ind w:left="1040" w:hanging="384"/>
        <w:spacing w:after="0"/>
        <w:tabs>
          <w:tab w:leader="none" w:pos="1040"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806" w:val="left"/>
        </w:tabs>
        <w:numPr>
          <w:ilvl w:val="1"/>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Employment Period (as defined below), the Company shall continue to employ Employee, and Employee shall serve, as Chief Financial Officer of the Company (and, for the avoidance of doubt, as of the Effective Date, Employee shall no longer serve as Executive Vice President, Strategic Ventures of the Company). In addition, if requested by the Company, Employee shall serve as an officer or member of the board of directors of any subsidiaries or affiliates of the Company without additional compensation.</w:t>
      </w:r>
    </w:p>
    <w:p>
      <w:pPr>
        <w:spacing w:after="0" w:line="178"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764" w:val="left"/>
        </w:tabs>
        <w:numPr>
          <w:ilvl w:val="1"/>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Employee expressly and irrevocably waives and releases any and all claims Employee may have to terminate Employee’s employment for Good Reason under the Prior Agreement and receive payments and benefits or otherwise be entitled to any other rights under any plan, program, agreement or other arrangement sponsored by the Company or any of its subsidiaries or affiliates, as the result of Employee’s role change from Executive Vice President, Strategic Ventures under the Prior Agreement to Chief Financial Officer (as set forth in </w:t>
      </w: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 xml:space="preserve"> above).</w:t>
      </w:r>
    </w:p>
    <w:p>
      <w:pPr>
        <w:spacing w:after="0" w:line="174"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Duties and Responsibilities of Employee</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779" w:val="left"/>
        </w:tabs>
        <w:numPr>
          <w:ilvl w:val="1"/>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Employment Period, Employee shall actively engage in the business and affairs of the Company (together with its direct and indirect subsidiaries, the “</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as may be requested by the Chief Executive Officer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xml:space="preserve">”) of the Company from time to time, devote such amount of Employee’s business time and attention as is reasonably necessary to manage the business and affairs of the Company, which amount of time will constitute substantially all of Employee’s business time. Employee’s duties and responsibilities shall include those normally incidental to the position(s) identified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as well as such additional duties as may be assigned to Employee by the CEO and/or the President from time to time, which duties and responsibilities may include providing services to other members of the Company Group in addition to the Company. Employee may, without</w:t>
      </w:r>
    </w:p>
    <w:p>
      <w:pPr>
        <w:sectPr>
          <w:pgSz w:w="11900" w:h="16838" w:orient="portrait"/>
          <w:cols w:equalWidth="0" w:num="1">
            <w:col w:w="11240"/>
          </w:cols>
          <w:pgMar w:left="320" w:top="120" w:right="339" w:bottom="1440" w:gutter="0" w:footer="0" w:header="0"/>
        </w:sectPr>
      </w:pPr>
    </w:p>
    <w:bookmarkStart w:id="57" w:name="page58"/>
    <w:bookmarkEnd w:id="57"/>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violating this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(i) as a passive investment, own publicly traded securities in such form or manner as will not require any services by Employee in the operation of the entities in which such securities are owned; (ii) engage in charitable and civic activities; and (iii) with the prior written consent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engage in other personal and passive investment activities, in each case,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w:t>
      </w:r>
    </w:p>
    <w:p>
      <w:pPr>
        <w:spacing w:after="0" w:line="180" w:lineRule="exact"/>
        <w:rPr>
          <w:sz w:val="20"/>
          <w:szCs w:val="20"/>
          <w:color w:val="auto"/>
        </w:rPr>
      </w:pPr>
    </w:p>
    <w:p>
      <w:pPr>
        <w:jc w:val="both"/>
        <w:ind w:firstLine="1304"/>
        <w:spacing w:after="0" w:line="250" w:lineRule="auto"/>
        <w:tabs>
          <w:tab w:leader="none" w:pos="1899"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spacing w:after="0" w:line="179"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792"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owes each member of the Company Group fiduciary duties, and the obligations described in this Agreement are in addition to, and not in lieu of, the obligations Employee owes each member of the Company Group under statutory and common law.</w:t>
      </w:r>
    </w:p>
    <w:p>
      <w:pPr>
        <w:spacing w:after="0" w:line="182"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779" w:val="left"/>
        </w:tabs>
        <w:numPr>
          <w:ilvl w:val="1"/>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Base Salar</w:t>
      </w:r>
      <w:r>
        <w:rPr>
          <w:rFonts w:ascii="Times New Roman" w:cs="Times New Roman" w:eastAsia="Times New Roman" w:hAnsi="Times New Roman"/>
          <w:sz w:val="22"/>
          <w:szCs w:val="22"/>
          <w:color w:val="auto"/>
        </w:rPr>
        <w:t>y. During the Employment Period, the Company shall pay to Employee an annualized base salary of $725,000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912" w:val="left"/>
        </w:tabs>
        <w:numPr>
          <w:ilvl w:val="1"/>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Beginning on January 1, 2026, Employee shall be eligible for bonus compensation for calendar year 2026 and each subsequent complete calendar year that Employee is employed by the Company hereunder (the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The target Annual Bonus for each such calendar year (the “</w:t>
      </w:r>
      <w:r>
        <w:rPr>
          <w:rFonts w:ascii="Times New Roman" w:cs="Times New Roman" w:eastAsia="Times New Roman" w:hAnsi="Times New Roman"/>
          <w:sz w:val="22"/>
          <w:szCs w:val="22"/>
          <w:u w:val="single" w:color="auto"/>
          <w:color w:val="auto"/>
        </w:rPr>
        <w:t>Bonus Year</w:t>
      </w:r>
      <w:r>
        <w:rPr>
          <w:rFonts w:ascii="Times New Roman" w:cs="Times New Roman" w:eastAsia="Times New Roman" w:hAnsi="Times New Roman"/>
          <w:sz w:val="22"/>
          <w:szCs w:val="22"/>
          <w:color w:val="auto"/>
        </w:rPr>
        <w:t>”) shall be 100% of Employee’s Base Salary in effect as of the first day of the Bonus Year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with the actual Annual Bonus for a Bonus Year depending on the level of achievement of the performance targets as determined by the Compensation Committee for the Bonus Year. The performance targets that must be achieved in order to be eligible for certain bonus levels shall be established by the Compensation Committee annually, in its sole discretion, and communicated to Employee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58" w:name="page59"/>
    <w:bookmarkEnd w:id="58"/>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first one-hundred twenty (120) days of the applicable Bonus Year.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For the avoidance of doubt, Employee’s Annual Bonus for calendar year 2025 shall continue to be governed by the provisions of the Prior Agreement. Notwithstanding anything in this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to the contrary, but subject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no Annual Bonus, if any, nor any portion thereof, shall be payable for any Bonus Year unless Employee remains continuously employed by the Company from the Effective Date through the date on which such Annual Bonus is paid.</w:t>
      </w:r>
    </w:p>
    <w:p>
      <w:pPr>
        <w:spacing w:after="0" w:line="180" w:lineRule="exact"/>
        <w:rPr>
          <w:sz w:val="20"/>
          <w:szCs w:val="20"/>
          <w:color w:val="auto"/>
        </w:rPr>
      </w:pPr>
    </w:p>
    <w:p>
      <w:pPr>
        <w:ind w:left="1760" w:hanging="456"/>
        <w:spacing w:after="0"/>
        <w:tabs>
          <w:tab w:leader="none" w:pos="1760"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Lon</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-Term Incentive Awards</w:t>
      </w:r>
      <w:r>
        <w:rPr>
          <w:rFonts w:ascii="Times New Roman" w:cs="Times New Roman" w:eastAsia="Times New Roman" w:hAnsi="Times New Roman"/>
          <w:sz w:val="22"/>
          <w:szCs w:val="22"/>
          <w:color w:val="auto"/>
        </w:rPr>
        <w:t>.</w:t>
      </w:r>
    </w:p>
    <w:p>
      <w:pPr>
        <w:spacing w:after="0" w:line="229" w:lineRule="exact"/>
        <w:rPr>
          <w:rFonts w:ascii="Times New Roman" w:cs="Times New Roman" w:eastAsia="Times New Roman" w:hAnsi="Times New Roman"/>
          <w:sz w:val="22"/>
          <w:szCs w:val="22"/>
          <w:color w:val="010000"/>
        </w:rPr>
      </w:pPr>
    </w:p>
    <w:p>
      <w:pPr>
        <w:jc w:val="both"/>
        <w:ind w:left="660" w:firstLine="1292"/>
        <w:spacing w:after="0" w:line="263" w:lineRule="auto"/>
        <w:tabs>
          <w:tab w:leader="none" w:pos="2389" w:val="left"/>
        </w:tabs>
        <w:numPr>
          <w:ilvl w:val="1"/>
          <w:numId w:val="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Annual Grants</w:t>
      </w:r>
      <w:r>
        <w:rPr>
          <w:rFonts w:ascii="Times New Roman" w:cs="Times New Roman" w:eastAsia="Times New Roman" w:hAnsi="Times New Roman"/>
          <w:sz w:val="21"/>
          <w:szCs w:val="21"/>
          <w:color w:val="auto"/>
        </w:rPr>
        <w:t>. Provided that Employee is employed by the Company on the applicable date of grant,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Employee shall be eligible to receive an annual grant under the Talen Energy Corporation 2023 Equity Incentive Plan or any applicable successor plan (the “</w:t>
      </w:r>
      <w:r>
        <w:rPr>
          <w:rFonts w:ascii="Times New Roman" w:cs="Times New Roman" w:eastAsia="Times New Roman" w:hAnsi="Times New Roman"/>
          <w:sz w:val="21"/>
          <w:szCs w:val="21"/>
          <w:u w:val="single" w:color="auto"/>
          <w:color w:val="auto"/>
        </w:rPr>
        <w:t>LTIP</w:t>
      </w:r>
      <w:r>
        <w:rPr>
          <w:rFonts w:ascii="Times New Roman" w:cs="Times New Roman" w:eastAsia="Times New Roman" w:hAnsi="Times New Roman"/>
          <w:sz w:val="21"/>
          <w:szCs w:val="21"/>
          <w:color w:val="auto"/>
        </w:rPr>
        <w:t>”) with a grant date target value not less than 600% of Employee’s Base Salary as in effect on the applicable date of grant of such award on such terms and conditions as the Board and the Compensation Committee shall determine from time to time (collectively, the “</w:t>
      </w:r>
      <w:r>
        <w:rPr>
          <w:rFonts w:ascii="Times New Roman" w:cs="Times New Roman" w:eastAsia="Times New Roman" w:hAnsi="Times New Roman"/>
          <w:sz w:val="21"/>
          <w:szCs w:val="21"/>
          <w:u w:val="single" w:color="auto"/>
          <w:color w:val="auto"/>
        </w:rPr>
        <w:t>LTIP Awards</w:t>
      </w:r>
      <w:r>
        <w:rPr>
          <w:rFonts w:ascii="Times New Roman" w:cs="Times New Roman" w:eastAsia="Times New Roman" w:hAnsi="Times New Roman"/>
          <w:sz w:val="21"/>
          <w:szCs w:val="21"/>
          <w:color w:val="auto"/>
        </w:rPr>
        <w:t xml:space="preserve">”). All LTIP Awards granted to Employee under the LTIP shall be subject to and governed by the terms and provisions of the LTIP as in effect from time to time and the award agreements evidencing such awards. Employee’s annual grant for calendar year 2026 shall, subject to the approval of the Board or the Compensation Committee, be on substantially the terms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164" w:lineRule="exact"/>
        <w:rPr>
          <w:rFonts w:ascii="Times New Roman" w:cs="Times New Roman" w:eastAsia="Times New Roman" w:hAnsi="Times New Roman"/>
          <w:sz w:val="21"/>
          <w:szCs w:val="21"/>
          <w:color w:val="010000"/>
        </w:rPr>
      </w:pPr>
    </w:p>
    <w:p>
      <w:pPr>
        <w:jc w:val="both"/>
        <w:ind w:left="660" w:firstLine="1292"/>
        <w:spacing w:after="0" w:line="249" w:lineRule="auto"/>
        <w:tabs>
          <w:tab w:leader="none" w:pos="2544" w:val="left"/>
        </w:tabs>
        <w:numPr>
          <w:ilvl w:val="1"/>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Cash-Settlement; Stock Ownership Guidelines</w:t>
      </w:r>
      <w:r>
        <w:rPr>
          <w:rFonts w:ascii="Times New Roman" w:cs="Times New Roman" w:eastAsia="Times New Roman" w:hAnsi="Times New Roman"/>
          <w:sz w:val="22"/>
          <w:szCs w:val="22"/>
          <w:color w:val="auto"/>
        </w:rPr>
        <w:t>. Notwithstanding anything in the applicable award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to the contrary, if, on the date of vesting of any performance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other than the Emergence Grants (as defined below), Employee holds Company Common Stock (as defined in the LTIP) in excess of two hundred percent (200%) of the stock ownership requirements applicable to Employee under the Company’s Stock Ownership Guidelines, adopted March 14, 2024, and as updated from time to time, fifty percent (50%) of the net after-tax value of such PSUs will be settled in cash and the remaining portion will be settled in Company Common Stock, with such settlement otherwise subject to the terms of the applicable award agreement, subject to the Compensation Committee’s ability to modify the portion settled in cash to the extent necessitated by a Liquidity Constraint, as defined below.</w:t>
      </w:r>
    </w:p>
    <w:p>
      <w:pPr>
        <w:spacing w:after="0" w:line="195" w:lineRule="exact"/>
        <w:rPr>
          <w:rFonts w:ascii="Times New Roman" w:cs="Times New Roman" w:eastAsia="Times New Roman" w:hAnsi="Times New Roman"/>
          <w:sz w:val="22"/>
          <w:szCs w:val="22"/>
          <w:color w:val="010000"/>
        </w:rPr>
      </w:pPr>
    </w:p>
    <w:p>
      <w:pPr>
        <w:jc w:val="both"/>
        <w:ind w:left="660" w:firstLine="1292"/>
        <w:spacing w:after="0" w:line="249" w:lineRule="auto"/>
        <w:tabs>
          <w:tab w:leader="none" w:pos="2671" w:val="left"/>
        </w:tabs>
        <w:numPr>
          <w:ilvl w:val="1"/>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Settlement of Emergence Grants; Lock-Up</w:t>
      </w:r>
      <w:r>
        <w:rPr>
          <w:rFonts w:ascii="Times New Roman" w:cs="Times New Roman" w:eastAsia="Times New Roman" w:hAnsi="Times New Roman"/>
          <w:sz w:val="22"/>
          <w:szCs w:val="22"/>
          <w:color w:val="auto"/>
        </w:rPr>
        <w:t>. With respect to Employee’s PSUs and time-based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that were granted in 2023 and scheduled to vest and settle in calendar year 2026 (the “</w:t>
      </w:r>
      <w:r>
        <w:rPr>
          <w:rFonts w:ascii="Times New Roman" w:cs="Times New Roman" w:eastAsia="Times New Roman" w:hAnsi="Times New Roman"/>
          <w:sz w:val="22"/>
          <w:szCs w:val="22"/>
          <w:u w:val="single" w:color="auto"/>
          <w:color w:val="auto"/>
        </w:rPr>
        <w:t>Emergence Grants</w:t>
      </w:r>
      <w:r>
        <w:rPr>
          <w:rFonts w:ascii="Times New Roman" w:cs="Times New Roman" w:eastAsia="Times New Roman" w:hAnsi="Times New Roman"/>
          <w:sz w:val="22"/>
          <w:szCs w:val="22"/>
          <w:color w:val="auto"/>
        </w:rPr>
        <w:t>”), Employee and the Company acknowledge and agree that a portion of the Emergence Grants will be settled in cash in an amount equal to sixty percent (60%) of the net after-tax value of each such award (the “</w:t>
      </w:r>
      <w:r>
        <w:rPr>
          <w:rFonts w:ascii="Times New Roman" w:cs="Times New Roman" w:eastAsia="Times New Roman" w:hAnsi="Times New Roman"/>
          <w:sz w:val="22"/>
          <w:szCs w:val="22"/>
          <w:u w:val="single" w:color="auto"/>
          <w:color w:val="auto"/>
        </w:rPr>
        <w:t>Cash-Settled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Portion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Fair Market Value (as defined in the LTIP) of a share of Company Common Stock on the date of vesting of the Emergence Grants exceeds $400.00, the Cash-Settled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59" w:name="page60"/>
    <w:bookmarkEnd w:id="59"/>
    <w:p>
      <w:pPr>
        <w:jc w:val="both"/>
        <w:ind w:left="660"/>
        <w:spacing w:after="0" w:line="247" w:lineRule="auto"/>
        <w:rPr>
          <w:sz w:val="20"/>
          <w:szCs w:val="20"/>
          <w:color w:val="auto"/>
        </w:rPr>
      </w:pPr>
      <w:r>
        <w:rPr>
          <w:rFonts w:ascii="Times New Roman" w:cs="Times New Roman" w:eastAsia="Times New Roman" w:hAnsi="Times New Roman"/>
          <w:sz w:val="22"/>
          <w:szCs w:val="22"/>
          <w:color w:val="auto"/>
        </w:rPr>
        <w:t>Emergence Grants will be no greater cash value in the aggregate than the Cash-Settled Portion that would result if the Fair Market Value of a share of Company Common Stock were equal to $400.00. In consideration of the foregoing, Employee agrees not to sell, contract to sell, grant any option to purchase, transfer the economic risk of ownership in, make any short sale of, pledge or otherwise transfer or dispose of, any interest in any shares of Company Common Stock received upon settlement of the Emergence Grants (each, an “</w:t>
      </w:r>
      <w:r>
        <w:rPr>
          <w:rFonts w:ascii="Times New Roman" w:cs="Times New Roman" w:eastAsia="Times New Roman" w:hAnsi="Times New Roman"/>
          <w:sz w:val="22"/>
          <w:szCs w:val="22"/>
          <w:u w:val="single" w:color="auto"/>
          <w:color w:val="auto"/>
        </w:rPr>
        <w:t>Award Share</w:t>
      </w:r>
      <w:r>
        <w:rPr>
          <w:rFonts w:ascii="Times New Roman" w:cs="Times New Roman" w:eastAsia="Times New Roman" w:hAnsi="Times New Roman"/>
          <w:sz w:val="22"/>
          <w:szCs w:val="22"/>
          <w:color w:val="auto"/>
        </w:rPr>
        <w:t>”) until November 13, 2026 (the “</w:t>
      </w:r>
      <w:r>
        <w:rPr>
          <w:rFonts w:ascii="Times New Roman" w:cs="Times New Roman" w:eastAsia="Times New Roman" w:hAnsi="Times New Roman"/>
          <w:sz w:val="22"/>
          <w:szCs w:val="22"/>
          <w:u w:val="single" w:color="auto"/>
          <w:color w:val="auto"/>
        </w:rPr>
        <w:t>Lock-Up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this paragraph shall not prohibit Employee from, during the last ninety (90) days of the Lock-Up Period,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establishing a trading plan that meets the requirements of Rule 10b5-1 under the Securities Exchange Act of 1934, as amended, so long as no trades are executed pursuant to such plan during the Lock-Up Period. Employee acknowledges and agrees that any Award Share will be subject to legends, stop transfer orders or any other similar restriction that the Company deems reasonably necessary to effectuate the provisions set forth in this </w:t>
      </w:r>
      <w:r>
        <w:rPr>
          <w:rFonts w:ascii="Times New Roman" w:cs="Times New Roman" w:eastAsia="Times New Roman" w:hAnsi="Times New Roman"/>
          <w:sz w:val="22"/>
          <w:szCs w:val="22"/>
          <w:u w:val="single" w:color="auto"/>
          <w:color w:val="auto"/>
        </w:rPr>
        <w:t>Section 3(c)(iii)</w:t>
      </w:r>
      <w:r>
        <w:rPr>
          <w:rFonts w:ascii="Times New Roman" w:cs="Times New Roman" w:eastAsia="Times New Roman" w:hAnsi="Times New Roman"/>
          <w:sz w:val="22"/>
          <w:szCs w:val="22"/>
          <w:color w:val="auto"/>
        </w:rPr>
        <w:t>. Notwithstanding the foregoing, if the Compensation Committee reasonably determines that the settlement of all or a portion of the Cash-Settled Portion of the Emergence Grants in cash would materially and adversely affect the Company (a “</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Constraint</w:t>
      </w:r>
      <w:r>
        <w:rPr>
          <w:rFonts w:ascii="Times New Roman" w:cs="Times New Roman" w:eastAsia="Times New Roman" w:hAnsi="Times New Roman"/>
          <w:sz w:val="22"/>
          <w:szCs w:val="22"/>
          <w:color w:val="auto"/>
        </w:rPr>
        <w:t xml:space="preserve">”), the Compensation Committee may elect to reduce the Cash-Settled Portion to the extent necessary to address the Liquidity Constraint, in which case the Lock-Up Period will be reduced in the same proportion by which the Cash-Settled Portion was reduced. By way of example only, if the Compensation Committee determines, in accordance with the previous sentence, that the Cash-Settled Portion will be reduced to one-half (1/2) of the Cash-Settled Portion that would otherwise result from this </w:t>
      </w:r>
      <w:r>
        <w:rPr>
          <w:rFonts w:ascii="Times New Roman" w:cs="Times New Roman" w:eastAsia="Times New Roman" w:hAnsi="Times New Roman"/>
          <w:sz w:val="22"/>
          <w:szCs w:val="22"/>
          <w:u w:val="single" w:color="auto"/>
          <w:color w:val="auto"/>
        </w:rPr>
        <w:t>Section 3(c)(iii)</w:t>
      </w:r>
      <w:r>
        <w:rPr>
          <w:rFonts w:ascii="Times New Roman" w:cs="Times New Roman" w:eastAsia="Times New Roman" w:hAnsi="Times New Roman"/>
          <w:sz w:val="22"/>
          <w:szCs w:val="22"/>
          <w:color w:val="auto"/>
        </w:rPr>
        <w:t>, the Lock-Up Period applicable to the Award Shares shall be reduced to 90 days (i.e., one-half (1/2) of 180 days).</w:t>
      </w:r>
    </w:p>
    <w:p>
      <w:pPr>
        <w:spacing w:after="0" w:line="183" w:lineRule="exact"/>
        <w:rPr>
          <w:sz w:val="20"/>
          <w:szCs w:val="20"/>
          <w:color w:val="auto"/>
        </w:rPr>
      </w:pPr>
    </w:p>
    <w:p>
      <w:pPr>
        <w:jc w:val="both"/>
        <w:ind w:firstLine="656"/>
        <w:spacing w:after="0" w:line="251" w:lineRule="auto"/>
        <w:tabs>
          <w:tab w:leader="none" w:pos="1039"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Term of Employment</w:t>
      </w:r>
      <w:r>
        <w:rPr>
          <w:rFonts w:ascii="Times New Roman" w:cs="Times New Roman" w:eastAsia="Times New Roman" w:hAnsi="Times New Roman"/>
          <w:sz w:val="22"/>
          <w:szCs w:val="22"/>
          <w:color w:val="auto"/>
        </w:rPr>
        <w:t>. The term of Employee’s employment under this Agreement shall be for the period beginning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Effective Date and ending on February 28, 2027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Thereafter, the term of this Agreement will automatically extend, on the same terms, for successive one-year periods, unless either party provides written notice of non-extension at least ninety (90) days prior to the end of the Term or any extension thereof. Notwithstanding any other provision of this Agreement, Employee’s employment pursuant to this Agreement may be terminated at any time in accordance with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010000"/>
        </w:rPr>
      </w:pPr>
    </w:p>
    <w:p>
      <w:pPr>
        <w:jc w:val="both"/>
        <w:ind w:firstLine="656"/>
        <w:spacing w:after="0" w:line="250" w:lineRule="auto"/>
        <w:tabs>
          <w:tab w:leader="none" w:pos="1066"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Business Expenses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the Company shall reimburse Employee for Employee’s reasonable 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60" w:name="page61"/>
    <w:bookmarkEnd w:id="60"/>
    <w:p>
      <w:pPr>
        <w:ind w:left="1040" w:hanging="384"/>
        <w:spacing w:after="0"/>
        <w:tabs>
          <w:tab w:leader="none" w:pos="1040"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846" w:val="left"/>
        </w:tabs>
        <w:numPr>
          <w:ilvl w:val="1"/>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During the Employment Period, Employee shall continue to be eligible to participate in the same benefit plans and programs (including vacation and paid time off) in which other similarly situated Company employees are eligible to participate, subject to the terms and conditions of the applicable plans and programs in effect from time to time. The Company shall not, however, by reason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be obligated to institute, maintain, or refrain from changing, amending, or discontinuing, any such plan or policy, so long as such changes are similarly applicable to similarly situated Company employees generally.</w:t>
      </w:r>
    </w:p>
    <w:p>
      <w:pPr>
        <w:spacing w:after="0" w:line="181"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2034" w:val="left"/>
        </w:tabs>
        <w:numPr>
          <w:ilvl w:val="1"/>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cover Employee under directors’ and officers’ liability insurance through the Employment Period, and, while potential liability exists, after the termination of Employee’s employment with the Company, on substantially similar terms as provided to other executive officers of the Company.</w:t>
      </w:r>
    </w:p>
    <w:p>
      <w:pPr>
        <w:spacing w:after="0" w:line="167" w:lineRule="exact"/>
        <w:rPr>
          <w:rFonts w:ascii="Times New Roman" w:cs="Times New Roman" w:eastAsia="Times New Roman" w:hAnsi="Times New Roman"/>
          <w:sz w:val="22"/>
          <w:szCs w:val="22"/>
          <w:color w:val="010000"/>
        </w:rPr>
      </w:pPr>
    </w:p>
    <w:p>
      <w:pPr>
        <w:ind w:left="1800" w:hanging="496"/>
        <w:spacing w:after="0"/>
        <w:tabs>
          <w:tab w:leader="none" w:pos="1800" w:val="left"/>
        </w:tabs>
        <w:numPr>
          <w:ilvl w:val="1"/>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reimburse Employee up to $5,000 for legal fees incurred in connection with the review</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of this Agreement.</w:t>
      </w:r>
    </w:p>
    <w:p>
      <w:pPr>
        <w:spacing w:after="0" w:line="191"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833" w:val="left"/>
        </w:tabs>
        <w:numPr>
          <w:ilvl w:val="1"/>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Company’s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Terminate Employee’s Employment for Cause</w:t>
      </w:r>
      <w:r>
        <w:rPr>
          <w:rFonts w:ascii="Times New Roman" w:cs="Times New Roman" w:eastAsia="Times New Roman" w:hAnsi="Times New Roman"/>
          <w:sz w:val="22"/>
          <w:szCs w:val="22"/>
          <w:color w:val="auto"/>
        </w:rPr>
        <w:t>. The Company shall have the right to terminate Employee’s employment hereunder at any time for Cause.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Employee’s commission of an act or omission, or Employee causing the Company or any other member of the Company Group to commit an act or omission, that constitutes:</w:t>
      </w:r>
    </w:p>
    <w:p>
      <w:pPr>
        <w:spacing w:after="0" w:line="176" w:lineRule="exact"/>
        <w:rPr>
          <w:rFonts w:ascii="Times New Roman" w:cs="Times New Roman" w:eastAsia="Times New Roman" w:hAnsi="Times New Roman"/>
          <w:sz w:val="22"/>
          <w:szCs w:val="22"/>
          <w:color w:val="010000"/>
        </w:rPr>
      </w:pPr>
    </w:p>
    <w:p>
      <w:pPr>
        <w:ind w:left="2380" w:hanging="428"/>
        <w:spacing w:after="0"/>
        <w:tabs>
          <w:tab w:leader="none" w:pos="2380" w:val="left"/>
        </w:tabs>
        <w:numPr>
          <w:ilvl w:val="2"/>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fraud or misconduct;</w:t>
      </w:r>
    </w:p>
    <w:p>
      <w:pPr>
        <w:spacing w:after="0" w:line="219" w:lineRule="exact"/>
        <w:rPr>
          <w:rFonts w:ascii="Times New Roman" w:cs="Times New Roman" w:eastAsia="Times New Roman" w:hAnsi="Times New Roman"/>
          <w:sz w:val="22"/>
          <w:szCs w:val="22"/>
          <w:color w:val="010000"/>
        </w:rPr>
      </w:pPr>
    </w:p>
    <w:p>
      <w:pPr>
        <w:jc w:val="both"/>
        <w:ind w:left="660" w:right="20" w:firstLine="1292"/>
        <w:spacing w:after="0" w:line="263" w:lineRule="auto"/>
        <w:tabs>
          <w:tab w:leader="none" w:pos="2476" w:val="left"/>
        </w:tabs>
        <w:numPr>
          <w:ilvl w:val="2"/>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spacing w:after="0" w:line="167"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563" w:val="left"/>
        </w:tabs>
        <w:numPr>
          <w:ilvl w:val="2"/>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material breach of this Agreement or any other written agreement between Employee and one or more members of the Company Group, including Employee’s material breach of any representation, warranty or covenant made under any such agreement;</w:t>
      </w:r>
    </w:p>
    <w:p>
      <w:pPr>
        <w:spacing w:after="0" w:line="186"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538" w:val="left"/>
        </w:tabs>
        <w:numPr>
          <w:ilvl w:val="2"/>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w:t>
      </w:r>
    </w:p>
    <w:p>
      <w:pPr>
        <w:spacing w:after="0" w:line="172"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464" w:val="left"/>
        </w:tabs>
        <w:numPr>
          <w:ilvl w:val="2"/>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breach of his duty of loyalty to the Company or violation of the Company’s policies (to the extent such policies have been clearly communicated in writing to Employee), including the Company’s code of conduct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8" w:right="339" w:bottom="1440" w:gutter="0" w:footer="0" w:header="0"/>
        </w:sectPr>
      </w:pPr>
    </w:p>
    <w:bookmarkStart w:id="61" w:name="page62"/>
    <w:bookmarkEnd w:id="61"/>
    <w:p>
      <w:pPr>
        <w:ind w:left="660"/>
        <w:spacing w:after="0" w:line="271" w:lineRule="auto"/>
        <w:rPr>
          <w:sz w:val="20"/>
          <w:szCs w:val="20"/>
          <w:color w:val="auto"/>
        </w:rPr>
      </w:pPr>
      <w:r>
        <w:rPr>
          <w:rFonts w:ascii="Times New Roman" w:cs="Times New Roman" w:eastAsia="Times New Roman" w:hAnsi="Times New Roman"/>
          <w:sz w:val="22"/>
          <w:szCs w:val="22"/>
          <w:color w:val="auto"/>
        </w:rPr>
        <w:t>business ethics (or similar policies), anti-harassment policy, anti-retaliation, or policies related to age, sex or other prohibited discrimination in the workplace; or</w:t>
      </w:r>
    </w:p>
    <w:p>
      <w:pPr>
        <w:spacing w:after="0" w:line="154" w:lineRule="exact"/>
        <w:rPr>
          <w:sz w:val="20"/>
          <w:szCs w:val="20"/>
          <w:color w:val="auto"/>
        </w:rPr>
      </w:pPr>
    </w:p>
    <w:p>
      <w:pPr>
        <w:ind w:left="2480" w:hanging="528"/>
        <w:spacing w:after="0"/>
        <w:tabs>
          <w:tab w:leader="none" w:pos="2480"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Employee’s conviction or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 or crime involving moral turpitude.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Notwithstanding the foregoing, no determination of “Cause” may be made pursuant to </w:t>
      </w:r>
      <w:r>
        <w:rPr>
          <w:rFonts w:ascii="Times New Roman" w:cs="Times New Roman" w:eastAsia="Times New Roman" w:hAnsi="Times New Roman"/>
          <w:sz w:val="22"/>
          <w:szCs w:val="22"/>
          <w:u w:val="single" w:color="auto"/>
          <w:color w:val="auto"/>
        </w:rPr>
        <w:t>Sections 7(a)(ii)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unless</w:t>
      </w:r>
    </w:p>
    <w:p>
      <w:pPr>
        <w:spacing w:after="0" w:line="28" w:lineRule="exact"/>
        <w:rPr>
          <w:sz w:val="20"/>
          <w:szCs w:val="20"/>
          <w:color w:val="auto"/>
        </w:rPr>
      </w:pPr>
    </w:p>
    <w:p>
      <w:pPr>
        <w:jc w:val="both"/>
        <w:ind w:firstLine="8"/>
        <w:spacing w:after="0" w:line="245" w:lineRule="auto"/>
        <w:tabs>
          <w:tab w:leader="none" w:pos="31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Employee has been given written notice by the Board describing the specific alleged action(s) or omission(s) that constitute “Cause,” and (2) Employee has failed to cure such acts or omissions within thirty (30) days of such notice from the Board. Upon the termination of Employee’s employment pursuant to this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Times New Roman" w:cs="Times New Roman" w:eastAsia="Times New Roman" w:hAnsi="Times New Roman"/>
          <w:sz w:val="22"/>
          <w:szCs w:val="22"/>
          <w:u w:val="single" w:color="auto"/>
          <w:color w:val="auto"/>
        </w:rPr>
        <w:t>Sections 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6(c)</w:t>
      </w:r>
      <w:r>
        <w:rPr>
          <w:rFonts w:ascii="Times New Roman" w:cs="Times New Roman" w:eastAsia="Times New Roman" w:hAnsi="Times New Roman"/>
          <w:sz w:val="22"/>
          <w:szCs w:val="22"/>
          <w:color w:val="auto"/>
        </w:rPr>
        <w:t xml:space="preserve">, and (C) benefits to which Employee is entitled under the terms of any applicable benefit plan or program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6(a)</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Accrued Benefits</w:t>
      </w:r>
      <w:r>
        <w:rPr>
          <w:rFonts w:ascii="Times New Roman" w:cs="Times New Roman" w:eastAsia="Times New Roman" w:hAnsi="Times New Roman"/>
          <w:sz w:val="22"/>
          <w:szCs w:val="22"/>
          <w:color w:val="auto"/>
        </w:rPr>
        <w:t xml:space="preserve">”). In addition, subject to any limitation under applicable law, previously paid compensation pursuant to </w:t>
      </w:r>
      <w:r>
        <w:rPr>
          <w:rFonts w:ascii="Times New Roman" w:cs="Times New Roman" w:eastAsia="Times New Roman" w:hAnsi="Times New Roman"/>
          <w:sz w:val="22"/>
          <w:szCs w:val="22"/>
          <w:u w:val="single" w:color="auto"/>
          <w:color w:val="auto"/>
        </w:rPr>
        <w:t>Sections 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3(c)</w:t>
      </w:r>
      <w:r>
        <w:rPr>
          <w:rFonts w:ascii="Times New Roman" w:cs="Times New Roman" w:eastAsia="Times New Roman" w:hAnsi="Times New Roman"/>
          <w:sz w:val="22"/>
          <w:szCs w:val="22"/>
          <w:color w:val="auto"/>
        </w:rPr>
        <w:t xml:space="preserve"> shall be subject to clawback or forfeiture and cancellation at the discretion of the Compensation Committee in the event of a termination of Employee’s employment for Cause.</w:t>
      </w:r>
    </w:p>
    <w:p>
      <w:pPr>
        <w:spacing w:after="0" w:line="189" w:lineRule="exact"/>
        <w:rPr>
          <w:rFonts w:ascii="Times New Roman" w:cs="Times New Roman" w:eastAsia="Times New Roman" w:hAnsi="Times New Roman"/>
          <w:sz w:val="22"/>
          <w:szCs w:val="22"/>
          <w:color w:val="auto"/>
        </w:rPr>
      </w:pPr>
    </w:p>
    <w:p>
      <w:pPr>
        <w:jc w:val="both"/>
        <w:ind w:firstLine="1304"/>
        <w:spacing w:after="0" w:line="268" w:lineRule="auto"/>
        <w:tabs>
          <w:tab w:leader="none" w:pos="1804" w:val="left"/>
        </w:tabs>
        <w:numPr>
          <w:ilvl w:val="1"/>
          <w:numId w:val="9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Company’s Ri</w:t>
      </w:r>
      <w:r>
        <w:rPr>
          <w:rFonts w:ascii="Times New Roman" w:cs="Times New Roman" w:eastAsia="Times New Roman" w:hAnsi="Times New Roman"/>
          <w:sz w:val="21"/>
          <w:szCs w:val="21"/>
          <w:color w:val="auto"/>
        </w:rPr>
        <w:t>g</w:t>
      </w:r>
      <w:r>
        <w:rPr>
          <w:rFonts w:ascii="Times New Roman" w:cs="Times New Roman" w:eastAsia="Times New Roman" w:hAnsi="Times New Roman"/>
          <w:sz w:val="21"/>
          <w:szCs w:val="21"/>
          <w:u w:val="single" w:color="auto"/>
          <w:color w:val="auto"/>
        </w:rPr>
        <w:t>ht to Terminate for Convenience or for Non-Renewal of Term</w:t>
      </w:r>
      <w:r>
        <w:rPr>
          <w:rFonts w:ascii="Times New Roman" w:cs="Times New Roman" w:eastAsia="Times New Roman" w:hAnsi="Times New Roman"/>
          <w:sz w:val="21"/>
          <w:szCs w:val="21"/>
          <w:color w:val="auto"/>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 xml:space="preserve">. The Company shall also have the right to terminate Employee by non-renewal of the Term or any extension thereof upon ninety (90)-days written notice to Employee, in which event Employee shall receive the compensation and benefits described in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w:t>
      </w:r>
    </w:p>
    <w:p>
      <w:pPr>
        <w:spacing w:after="0" w:line="163" w:lineRule="exact"/>
        <w:rPr>
          <w:rFonts w:ascii="Times New Roman" w:cs="Times New Roman" w:eastAsia="Times New Roman" w:hAnsi="Times New Roman"/>
          <w:sz w:val="21"/>
          <w:szCs w:val="21"/>
          <w:color w:val="010000"/>
        </w:rPr>
      </w:pPr>
    </w:p>
    <w:p>
      <w:pPr>
        <w:jc w:val="both"/>
        <w:ind w:firstLine="1304"/>
        <w:spacing w:after="0" w:line="256" w:lineRule="auto"/>
        <w:tabs>
          <w:tab w:leader="none" w:pos="1833" w:val="left"/>
        </w:tabs>
        <w:numPr>
          <w:ilvl w:val="1"/>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Employee’s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Terminate for Good Reason</w:t>
      </w:r>
      <w:r>
        <w:rPr>
          <w:rFonts w:ascii="Times New Roman" w:cs="Times New Roman" w:eastAsia="Times New Roman" w:hAnsi="Times New Roman"/>
          <w:sz w:val="22"/>
          <w:szCs w:val="22"/>
          <w:color w:val="auto"/>
        </w:rPr>
        <w:t xml:space="preserve">. Employee shall have the right to terminate Employee’s employment with the Company at any time for Good Reason, in which event Employee shall receive the compensation and benefits described in </w:t>
      </w:r>
      <w:r>
        <w:rPr>
          <w:rFonts w:ascii="Times New Roman" w:cs="Times New Roman" w:eastAsia="Times New Roman" w:hAnsi="Times New Roman"/>
          <w:sz w:val="22"/>
          <w:szCs w:val="22"/>
          <w:u w:val="single" w:color="auto"/>
          <w:color w:val="auto"/>
        </w:rPr>
        <w:t>Section 7(f)</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any of the following occurring without Employee’s consent:</w:t>
      </w:r>
    </w:p>
    <w:p>
      <w:pPr>
        <w:spacing w:after="0" w:line="176" w:lineRule="exact"/>
        <w:rPr>
          <w:rFonts w:ascii="Times New Roman" w:cs="Times New Roman" w:eastAsia="Times New Roman" w:hAnsi="Times New Roman"/>
          <w:sz w:val="22"/>
          <w:szCs w:val="22"/>
          <w:color w:val="010000"/>
        </w:rPr>
      </w:pPr>
    </w:p>
    <w:p>
      <w:pPr>
        <w:ind w:left="2620" w:hanging="668"/>
        <w:spacing w:after="0"/>
        <w:tabs>
          <w:tab w:leader="none" w:pos="2620" w:val="left"/>
        </w:tabs>
        <w:numPr>
          <w:ilvl w:val="2"/>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adverse change in Employee’s title, duties or responsibilities (including reporting</w:t>
      </w:r>
    </w:p>
    <w:p>
      <w:pPr>
        <w:spacing w:after="0" w:line="27" w:lineRule="exact"/>
        <w:rPr>
          <w:rFonts w:ascii="Times New Roman" w:cs="Times New Roman" w:eastAsia="Times New Roman" w:hAnsi="Times New Roman"/>
          <w:sz w:val="22"/>
          <w:szCs w:val="22"/>
          <w:color w:val="010000"/>
        </w:rPr>
      </w:pP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responsibilities);</w:t>
      </w:r>
    </w:p>
    <w:p>
      <w:pPr>
        <w:spacing w:after="0" w:line="209" w:lineRule="exact"/>
        <w:rPr>
          <w:rFonts w:ascii="Times New Roman" w:cs="Times New Roman" w:eastAsia="Times New Roman" w:hAnsi="Times New Roman"/>
          <w:sz w:val="22"/>
          <w:szCs w:val="22"/>
          <w:color w:val="010000"/>
        </w:rPr>
      </w:pPr>
    </w:p>
    <w:p>
      <w:pPr>
        <w:ind w:left="2440" w:hanging="488"/>
        <w:spacing w:after="0"/>
        <w:tabs>
          <w:tab w:leader="none" w:pos="2440" w:val="left"/>
        </w:tabs>
        <w:numPr>
          <w:ilvl w:val="2"/>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reduction in Employee’s Base Salary;</w:t>
      </w:r>
    </w:p>
    <w:p>
      <w:pPr>
        <w:spacing w:after="0" w:line="219" w:lineRule="exact"/>
        <w:rPr>
          <w:rFonts w:ascii="Times New Roman" w:cs="Times New Roman" w:eastAsia="Times New Roman" w:hAnsi="Times New Roman"/>
          <w:sz w:val="22"/>
          <w:szCs w:val="22"/>
          <w:color w:val="010000"/>
        </w:rPr>
      </w:pPr>
    </w:p>
    <w:p>
      <w:pPr>
        <w:ind w:left="660" w:firstLine="1292"/>
        <w:spacing w:after="0" w:line="271" w:lineRule="auto"/>
        <w:tabs>
          <w:tab w:leader="none" w:pos="2577" w:val="left"/>
        </w:tabs>
        <w:numPr>
          <w:ilvl w:val="2"/>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relocation of Employee’s primary work location to a distance of more than 50 miles from </w:t>
      </w:r>
      <w:r>
        <w:rPr>
          <w:rFonts w:ascii="Times New Roman" w:cs="Times New Roman" w:eastAsia="Times New Roman" w:hAnsi="Times New Roman"/>
          <w:sz w:val="20"/>
          <w:szCs w:val="20"/>
          <w:color w:val="auto"/>
        </w:rPr>
        <w:t>both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Berwick Pennsylvania and Allentown, Pennsylvania</w:t>
      </w:r>
      <w:r>
        <w:rPr>
          <w:rFonts w:ascii="Times New Roman" w:cs="Times New Roman" w:eastAsia="Times New Roman" w:hAnsi="Times New Roman"/>
          <w:sz w:val="21"/>
          <w:szCs w:val="21"/>
          <w:color w:val="auto"/>
        </w:rPr>
        <w:t>; or</w:t>
      </w:r>
    </w:p>
    <w:p>
      <w:pPr>
        <w:spacing w:after="0" w:line="157" w:lineRule="exact"/>
        <w:rPr>
          <w:rFonts w:ascii="Times New Roman" w:cs="Times New Roman" w:eastAsia="Times New Roman" w:hAnsi="Times New Roman"/>
          <w:sz w:val="22"/>
          <w:szCs w:val="22"/>
          <w:color w:val="010000"/>
        </w:rPr>
      </w:pPr>
    </w:p>
    <w:p>
      <w:pPr>
        <w:ind w:left="2480" w:hanging="528"/>
        <w:spacing w:after="0"/>
        <w:tabs>
          <w:tab w:leader="none" w:pos="2480" w:val="left"/>
        </w:tabs>
        <w:numPr>
          <w:ilvl w:val="2"/>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breach by the Company of any of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62" w:name="page63"/>
    <w:bookmarkEnd w:id="62"/>
    <w:p>
      <w:pPr>
        <w:jc w:val="both"/>
        <w:spacing w:after="0" w:line="253" w:lineRule="auto"/>
        <w:rPr>
          <w:sz w:val="20"/>
          <w:szCs w:val="20"/>
          <w:color w:val="auto"/>
        </w:rPr>
      </w:pPr>
      <w:r>
        <w:rPr>
          <w:rFonts w:ascii="Times New Roman" w:cs="Times New Roman" w:eastAsia="Times New Roman" w:hAnsi="Times New Roman"/>
          <w:sz w:val="22"/>
          <w:szCs w:val="22"/>
          <w:color w:val="auto"/>
        </w:rPr>
        <w:t>The Company and Employee agree that Good Reason shall not exist unless and until Employee provides the Company with written notice of the acts alleged to constitute Good Reason within ninety (90) days of Employee’s knowledge of the occurrence of such event, and Company fails to cure such acts within thirty (30) days of receipt of such notice. Employee must terminate employment within sixty (60) days following the expiration of such cure period for the termination to be on account of Good Reason.</w:t>
      </w:r>
    </w:p>
    <w:p>
      <w:pPr>
        <w:spacing w:after="0" w:line="179" w:lineRule="exact"/>
        <w:rPr>
          <w:sz w:val="20"/>
          <w:szCs w:val="20"/>
          <w:color w:val="auto"/>
        </w:rPr>
      </w:pPr>
    </w:p>
    <w:p>
      <w:pPr>
        <w:jc w:val="both"/>
        <w:ind w:firstLine="1304"/>
        <w:spacing w:after="0" w:line="259" w:lineRule="auto"/>
        <w:tabs>
          <w:tab w:leader="none" w:pos="1804" w:val="left"/>
        </w:tabs>
        <w:numPr>
          <w:ilvl w:val="1"/>
          <w:numId w:val="9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Death or Disabilit</w:t>
      </w:r>
      <w:r>
        <w:rPr>
          <w:rFonts w:ascii="Times New Roman" w:cs="Times New Roman" w:eastAsia="Times New Roman" w:hAnsi="Times New Roman"/>
          <w:sz w:val="21"/>
          <w:szCs w:val="21"/>
          <w:color w:val="auto"/>
        </w:rPr>
        <w:t>y.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(the “</w:t>
      </w:r>
      <w:r>
        <w:rPr>
          <w:rFonts w:ascii="Times New Roman" w:cs="Times New Roman" w:eastAsia="Times New Roman" w:hAnsi="Times New Roman"/>
          <w:sz w:val="21"/>
          <w:szCs w:val="21"/>
          <w:u w:val="single" w:color="auto"/>
          <w:color w:val="auto"/>
        </w:rPr>
        <w:t>Prior Year Bonus</w:t>
      </w:r>
      <w:r>
        <w:rPr>
          <w:rFonts w:ascii="Times New Roman" w:cs="Times New Roman" w:eastAsia="Times New Roman" w:hAnsi="Times New Roman"/>
          <w:sz w:val="21"/>
          <w:szCs w:val="21"/>
          <w:color w:val="auto"/>
        </w:rPr>
        <w:t>”) (which amount shall be paid within sixty (60) days following the date of such termination of employment but in no event later than March 15 of the year following the Bonus Year to which such Annual Bonus relates), (iii) an amount equal to the Target Bonus for the year in which such termination of employment occurs, prorated for the period of days beginning on January 1 and ending on the date of such termination of employment relative to the number of days in the applicable Bonus Year (the “</w:t>
      </w:r>
      <w:r>
        <w:rPr>
          <w:rFonts w:ascii="Times New Roman" w:cs="Times New Roman" w:eastAsia="Times New Roman" w:hAnsi="Times New Roman"/>
          <w:sz w:val="21"/>
          <w:szCs w:val="21"/>
          <w:u w:val="single" w:color="auto"/>
          <w:color w:val="auto"/>
        </w:rPr>
        <w:t>Prorated Target Bonus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Prorated Target Bonus described in </w:t>
      </w:r>
      <w:r>
        <w:rPr>
          <w:rFonts w:ascii="Times New Roman" w:cs="Times New Roman" w:eastAsia="Times New Roman" w:hAnsi="Times New Roman"/>
          <w:sz w:val="21"/>
          <w:szCs w:val="21"/>
          <w:u w:val="single" w:color="auto"/>
          <w:color w:val="auto"/>
        </w:rPr>
        <w:t>clause</w:t>
      </w:r>
    </w:p>
    <w:p>
      <w:pPr>
        <w:spacing w:after="0" w:line="4" w:lineRule="exact"/>
        <w:rPr>
          <w:rFonts w:ascii="Times New Roman" w:cs="Times New Roman" w:eastAsia="Times New Roman" w:hAnsi="Times New Roman"/>
          <w:sz w:val="21"/>
          <w:szCs w:val="21"/>
          <w:color w:val="010000"/>
        </w:rPr>
      </w:pPr>
    </w:p>
    <w:p>
      <w:pPr>
        <w:jc w:val="both"/>
        <w:ind w:firstLine="8"/>
        <w:spacing w:after="0" w:line="246" w:lineRule="auto"/>
        <w:tabs>
          <w:tab w:leader="none" w:pos="393" w:val="left"/>
        </w:tabs>
        <w:numPr>
          <w:ilvl w:val="0"/>
          <w:numId w:val="9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the preceding sentence, if any, shall be paid in a lump sum in cash on the Company’s first regularly scheduled pay date that is on or after the date that is sixty (60) days after the date on which Employee’s employment terminates (the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and (iv) subject to Employee’s timely election of continuation coverage under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xml:space="preserve">”), continued participation (pursuant to COBRA) in the Company’s group health plan (to the extent permitted under applicable law and the terms of such plan) covering Employee and Employee’s eligible dependents for a period of thirty-six (36) months at Employee’s (or Employee’s estate’s, in the case of Employee’s death) sole expense,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may modify the continuation coverage contemplated by this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 xml:space="preserve"> to the extent reasonably necessary to avoid the imposition of any excise taxes on the Company for failure to comply with the nondiscrimination requirements of Section 105(h) of the Internal Revenue Code of 1986, as amended; the Patient Protection and Affordable Care Act of 2010, as amended; and/or the Health Care and Education Reconciliation Act of 2010, as amended, and in each case, the regulations and guidance promulgated thereunder (to the extent applicable) (the “</w:t>
      </w:r>
      <w:r>
        <w:rPr>
          <w:rFonts w:ascii="Times New Roman" w:cs="Times New Roman" w:eastAsia="Times New Roman" w:hAnsi="Times New Roman"/>
          <w:sz w:val="22"/>
          <w:szCs w:val="22"/>
          <w:u w:val="single" w:color="auto"/>
          <w:color w:val="auto"/>
        </w:rPr>
        <w:t>COBRA Continuation</w:t>
      </w:r>
      <w:r>
        <w:rPr>
          <w:rFonts w:ascii="Times New Roman" w:cs="Times New Roman" w:eastAsia="Times New Roman" w:hAnsi="Times New Roman"/>
          <w:sz w:val="22"/>
          <w:szCs w:val="22"/>
          <w:color w:val="auto"/>
        </w:rPr>
        <w:t>”). For purposes of this Agreement, a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w:t>
      </w:r>
    </w:p>
    <w:p>
      <w:pPr>
        <w:spacing w:after="0" w:line="187" w:lineRule="exact"/>
        <w:rPr>
          <w:rFonts w:ascii="Times New Roman" w:cs="Times New Roman" w:eastAsia="Times New Roman" w:hAnsi="Times New Roman"/>
          <w:sz w:val="22"/>
          <w:szCs w:val="22"/>
          <w:u w:val="single" w:color="auto"/>
          <w:color w:val="auto"/>
        </w:rPr>
      </w:pPr>
    </w:p>
    <w:p>
      <w:pPr>
        <w:jc w:val="both"/>
        <w:ind w:firstLine="1304"/>
        <w:spacing w:after="0" w:line="256" w:lineRule="auto"/>
        <w:tabs>
          <w:tab w:leader="none" w:pos="1752" w:val="left"/>
        </w:tabs>
        <w:numPr>
          <w:ilvl w:val="1"/>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Employee’s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Terminate for Convenience or Non-Renewal of Term</w:t>
      </w:r>
      <w:r>
        <w:rPr>
          <w:rFonts w:ascii="Times New Roman" w:cs="Times New Roman" w:eastAsia="Times New Roman" w:hAnsi="Times New Roman"/>
          <w:sz w:val="22"/>
          <w:szCs w:val="22"/>
          <w:color w:val="auto"/>
        </w:rPr>
        <w:t>. In addition to Employee’s right to terminate Employee’s employment for Good Reason, Employee shall have the right to terminate Employee’s employment with the Company for convenience at any time and for any other reason, or no reason at all, upon sixty (60) days’ advance written notice to the Company (or ninety (90) days, in the event of a non-renewal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63" w:name="page64"/>
    <w:bookmarkEnd w:id="63"/>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Term or any extension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xml:space="preserve">). Upon the termination of Employee’s employment pursuant to this </w:t>
      </w:r>
      <w:r>
        <w:rPr>
          <w:rFonts w:ascii="Times New Roman" w:cs="Times New Roman" w:eastAsia="Times New Roman" w:hAnsi="Times New Roman"/>
          <w:sz w:val="22"/>
          <w:szCs w:val="22"/>
          <w:u w:val="single" w:color="auto"/>
          <w:color w:val="auto"/>
        </w:rPr>
        <w:t>Section 7(e)</w:t>
      </w:r>
      <w:r>
        <w:rPr>
          <w:rFonts w:ascii="Times New Roman" w:cs="Times New Roman" w:eastAsia="Times New Roman" w:hAnsi="Times New Roman"/>
          <w:sz w:val="22"/>
          <w:szCs w:val="22"/>
          <w:color w:val="auto"/>
        </w:rPr>
        <w:t xml:space="preserve">, (i) the Company shall pay to Employee the Accrued Benefits and (ii) if Employee provides at least ninety (90) days’ written notice of termination and such termination occurs at or following the end of the initial Term, Employee shall be eligible for the COBRA Continuation, subject to the same terms, conditions and eligibility requirements set forth in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 Additionally, if Employee (a) provides at least ninety (90) days’ written notice of termination related to a non-renewal of term (including any renewal terms following the initial Term), (b)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upon such termination, and (c) abides by the terms of each of </w:t>
      </w:r>
      <w:r>
        <w:rPr>
          <w:rFonts w:ascii="Times New Roman" w:cs="Times New Roman" w:eastAsia="Times New Roman" w:hAnsi="Times New Roman"/>
          <w:sz w:val="22"/>
          <w:szCs w:val="22"/>
          <w:u w:val="single" w:color="auto"/>
          <w:color w:val="auto"/>
        </w:rPr>
        <w:t>Sections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Employee shall receive the Prior Year Bonus, if any (which amount shall be paid within sixty (60) days following the date of such termination of employment but in no event later than March 15 of the year following the Bonus Year to which such Annual Bonus relates).</w:t>
      </w:r>
    </w:p>
    <w:p>
      <w:pPr>
        <w:spacing w:after="0" w:line="201" w:lineRule="exact"/>
        <w:rPr>
          <w:sz w:val="20"/>
          <w:szCs w:val="20"/>
          <w:color w:val="auto"/>
        </w:rPr>
      </w:pPr>
    </w:p>
    <w:p>
      <w:pPr>
        <w:ind w:left="1760" w:hanging="456"/>
        <w:spacing w:after="0"/>
        <w:tabs>
          <w:tab w:leader="none" w:pos="1760" w:val="left"/>
        </w:tabs>
        <w:numPr>
          <w:ilvl w:val="0"/>
          <w:numId w:val="10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Effect of Termination of Employment without Cause, for Good Reason, or for the Company’s Non-Renewal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of the Term</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2400" w:hanging="448"/>
        <w:spacing w:after="0"/>
        <w:tabs>
          <w:tab w:leader="none" w:pos="2400" w:val="left"/>
        </w:tabs>
        <w:numPr>
          <w:ilvl w:val="1"/>
          <w:numId w:val="10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Outside a Change in Control Period</w:t>
      </w:r>
      <w:r>
        <w:rPr>
          <w:rFonts w:ascii="Times New Roman" w:cs="Times New Roman" w:eastAsia="Times New Roman" w:hAnsi="Times New Roman"/>
          <w:sz w:val="21"/>
          <w:szCs w:val="21"/>
          <w:color w:val="auto"/>
        </w:rPr>
        <w:t>. If Employee’s employment hereunder is terminated</w:t>
      </w:r>
    </w:p>
    <w:p>
      <w:pPr>
        <w:spacing w:after="0" w:line="39" w:lineRule="exact"/>
        <w:rPr>
          <w:rFonts w:ascii="Times New Roman" w:cs="Times New Roman" w:eastAsia="Times New Roman" w:hAnsi="Times New Roman"/>
          <w:sz w:val="21"/>
          <w:szCs w:val="21"/>
          <w:color w:val="010000"/>
        </w:rPr>
      </w:pPr>
    </w:p>
    <w:p>
      <w:pPr>
        <w:jc w:val="both"/>
        <w:ind w:left="660" w:hanging="4"/>
        <w:spacing w:after="0" w:line="259" w:lineRule="auto"/>
        <w:tabs>
          <w:tab w:leader="none" w:pos="1017"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Company without Cause (including as a result of a non-renewal of the Term or any extension thereof)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or is terminated by Employee for Good Reason pursuant to </w:t>
      </w:r>
      <w:r>
        <w:rPr>
          <w:rFonts w:ascii="Times New Roman" w:cs="Times New Roman" w:eastAsia="Times New Roman" w:hAnsi="Times New Roman"/>
          <w:sz w:val="21"/>
          <w:szCs w:val="21"/>
          <w:u w:val="single" w:color="auto"/>
          <w:color w:val="auto"/>
        </w:rPr>
        <w:t>Section 7(c)</w:t>
      </w:r>
      <w:r>
        <w:rPr>
          <w:rFonts w:ascii="Times New Roman" w:cs="Times New Roman" w:eastAsia="Times New Roman" w:hAnsi="Times New Roman"/>
          <w:sz w:val="21"/>
          <w:szCs w:val="21"/>
          <w:color w:val="auto"/>
        </w:rPr>
        <w:t xml:space="preserve"> and (B) the Termination Date is not on or within eighteen (18) months following a Change in Control (as defined in the LTIP, and such period, the “</w:t>
      </w:r>
      <w:r>
        <w:rPr>
          <w:rFonts w:ascii="Times New Roman" w:cs="Times New Roman" w:eastAsia="Times New Roman" w:hAnsi="Times New Roman"/>
          <w:sz w:val="21"/>
          <w:szCs w:val="21"/>
          <w:u w:val="single" w:color="auto"/>
          <w:color w:val="auto"/>
        </w:rPr>
        <w:t>Change in Control Period</w:t>
      </w:r>
      <w:r>
        <w:rPr>
          <w:rFonts w:ascii="Times New Roman" w:cs="Times New Roman" w:eastAsia="Times New Roman" w:hAnsi="Times New Roman"/>
          <w:sz w:val="21"/>
          <w:szCs w:val="21"/>
          <w:color w:val="auto"/>
        </w:rPr>
        <w:t>”), then the Company shall pay Employee the Accrued Benefits and any Prior Year Bonus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the Release,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8" w:right="339" w:bottom="1440" w:gutter="0" w:footer="0" w:header="0"/>
        </w:sectPr>
      </w:pPr>
    </w:p>
    <w:bookmarkStart w:id="64" w:name="page65"/>
    <w:bookmarkEnd w:id="64"/>
    <w:p>
      <w:pPr>
        <w:ind w:left="4"/>
        <w:spacing w:after="0" w:line="254" w:lineRule="auto"/>
        <w:rPr>
          <w:sz w:val="20"/>
          <w:szCs w:val="20"/>
          <w:color w:val="auto"/>
        </w:rPr>
      </w:pPr>
      <w:r>
        <w:rPr>
          <w:rFonts w:ascii="Times New Roman" w:cs="Times New Roman" w:eastAsia="Times New Roman" w:hAnsi="Times New Roman"/>
          <w:sz w:val="22"/>
          <w:szCs w:val="22"/>
          <w:color w:val="auto"/>
        </w:rPr>
        <w:t xml:space="preserve">Employee’s employment with the Company and any other member of the Company Group or the termination of such employment, but excluding all claims to severance payments, Employee may have under this </w:t>
      </w:r>
      <w:r>
        <w:rPr>
          <w:rFonts w:ascii="Times New Roman" w:cs="Times New Roman" w:eastAsia="Times New Roman" w:hAnsi="Times New Roman"/>
          <w:sz w:val="22"/>
          <w:szCs w:val="22"/>
          <w:u w:val="single" w:color="auto"/>
          <w:color w:val="auto"/>
        </w:rPr>
        <w:t>Section 7(f)(i)</w:t>
      </w:r>
      <w:r>
        <w:rPr>
          <w:rFonts w:ascii="Times New Roman" w:cs="Times New Roman" w:eastAsia="Times New Roman" w:hAnsi="Times New Roman"/>
          <w:sz w:val="22"/>
          <w:szCs w:val="22"/>
          <w:color w:val="auto"/>
        </w:rPr>
        <w:t>; and</w:t>
      </w:r>
    </w:p>
    <w:p>
      <w:pPr>
        <w:spacing w:after="0" w:line="2" w:lineRule="exact"/>
        <w:rPr>
          <w:sz w:val="20"/>
          <w:szCs w:val="20"/>
          <w:color w:val="auto"/>
        </w:rPr>
      </w:pPr>
    </w:p>
    <w:p>
      <w:pPr>
        <w:ind w:left="304" w:hanging="304"/>
        <w:spacing w:after="0"/>
        <w:tabs>
          <w:tab w:leader="none" w:pos="30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abides by the terms of each of </w:t>
      </w:r>
      <w:r>
        <w:rPr>
          <w:rFonts w:ascii="Times New Roman" w:cs="Times New Roman" w:eastAsia="Times New Roman" w:hAnsi="Times New Roman"/>
          <w:sz w:val="22"/>
          <w:szCs w:val="22"/>
          <w:u w:val="single" w:color="auto"/>
          <w:color w:val="auto"/>
        </w:rPr>
        <w:t>Sections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then:</w:t>
      </w:r>
    </w:p>
    <w:p>
      <w:pPr>
        <w:spacing w:after="0" w:line="209" w:lineRule="exact"/>
        <w:rPr>
          <w:rFonts w:ascii="Times New Roman" w:cs="Times New Roman" w:eastAsia="Times New Roman" w:hAnsi="Times New Roman"/>
          <w:sz w:val="22"/>
          <w:szCs w:val="22"/>
          <w:color w:val="auto"/>
        </w:rPr>
      </w:pPr>
    </w:p>
    <w:p>
      <w:pPr>
        <w:ind w:left="2624" w:hanging="680"/>
        <w:spacing w:after="0"/>
        <w:tabs>
          <w:tab w:leader="none" w:pos="2624" w:val="left"/>
        </w:tabs>
        <w:numPr>
          <w:ilvl w:val="2"/>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make severance payments to Employee in a total amount equal to</w:t>
      </w:r>
    </w:p>
    <w:p>
      <w:pPr>
        <w:spacing w:after="0" w:line="27" w:lineRule="exact"/>
        <w:rPr>
          <w:rFonts w:ascii="Times New Roman" w:cs="Times New Roman" w:eastAsia="Times New Roman" w:hAnsi="Times New Roman"/>
          <w:sz w:val="22"/>
          <w:szCs w:val="22"/>
          <w:color w:val="010000"/>
        </w:rPr>
      </w:pPr>
    </w:p>
    <w:p>
      <w:pPr>
        <w:jc w:val="both"/>
        <w:ind w:left="644" w:firstLine="4"/>
        <w:spacing w:after="0" w:line="246" w:lineRule="auto"/>
        <w:tabs>
          <w:tab w:leader="none" w:pos="919"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twelve (12) months’ worth of Employee’s Base Salary and (ii) one (1) times the target Annual Bonus, where each are determined as of the year in which such termination occurs (such total severance payments being referred to as the “</w:t>
      </w:r>
      <w:r>
        <w:rPr>
          <w:rFonts w:ascii="Times New Roman" w:cs="Times New Roman" w:eastAsia="Times New Roman" w:hAnsi="Times New Roman"/>
          <w:sz w:val="22"/>
          <w:szCs w:val="22"/>
          <w:u w:val="single" w:color="auto"/>
          <w:color w:val="auto"/>
        </w:rPr>
        <w:t>Non-CIC Severance Payment</w:t>
      </w:r>
      <w:r>
        <w:rPr>
          <w:rFonts w:ascii="Times New Roman" w:cs="Times New Roman" w:eastAsia="Times New Roman" w:hAnsi="Times New Roman"/>
          <w:sz w:val="22"/>
          <w:szCs w:val="22"/>
          <w:color w:val="auto"/>
        </w:rPr>
        <w:t>”). The Non-CIC Severance Payment will be divided into substantially equal installments paid over the twelve (12)-month period following the Termination Date. On the Company’s first regularly scheduled pay date that is on or after the date that is sixty (60) days after the Termination Date (the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xml:space="preserve">”), the Company shall pay to Employee, without interest, a number of such installments equal to the 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such twelve (12)-month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to the extent, if any, that the aggregate amount of the installments of the Non-CIC Severance Payment that would otherwise be paid pursuant to the preceding provisions of this </w:t>
      </w:r>
      <w:r>
        <w:rPr>
          <w:rFonts w:ascii="Times New Roman" w:cs="Times New Roman" w:eastAsia="Times New Roman" w:hAnsi="Times New Roman"/>
          <w:sz w:val="22"/>
          <w:szCs w:val="22"/>
          <w:u w:val="single" w:color="auto"/>
          <w:color w:val="auto"/>
        </w:rPr>
        <w:t>Section 7(f)(i)(A)</w:t>
      </w:r>
      <w:r>
        <w:rPr>
          <w:rFonts w:ascii="Times New Roman" w:cs="Times New Roman" w:eastAsia="Times New Roman" w:hAnsi="Times New Roman"/>
          <w:sz w:val="22"/>
          <w:szCs w:val="22"/>
          <w:color w:val="auto"/>
        </w:rPr>
        <w:t xml:space="preserve"> after March 15 of the calendar year following the calendar year in which the Termination Date occurs (the “</w:t>
      </w:r>
      <w:r>
        <w:rPr>
          <w:rFonts w:ascii="Times New Roman" w:cs="Times New Roman" w:eastAsia="Times New Roman" w:hAnsi="Times New Roman"/>
          <w:sz w:val="22"/>
          <w:szCs w:val="22"/>
          <w:u w:val="single" w:color="auto"/>
          <w:color w:val="auto"/>
        </w:rPr>
        <w:t>Applicable March 15</w:t>
      </w:r>
      <w:r>
        <w:rPr>
          <w:rFonts w:ascii="Times New Roman" w:cs="Times New Roman" w:eastAsia="Times New Roman" w:hAnsi="Times New Roman"/>
          <w:sz w:val="22"/>
          <w:szCs w:val="22"/>
          <w:color w:val="auto"/>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Non-CIC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except a Saturday, Sunday or other day on which commercial banks in Houston, Texas, are authorized or required by law to be closed.</w:t>
      </w:r>
    </w:p>
    <w:p>
      <w:pPr>
        <w:spacing w:after="0" w:line="187" w:lineRule="exact"/>
        <w:rPr>
          <w:rFonts w:ascii="Times New Roman" w:cs="Times New Roman" w:eastAsia="Times New Roman" w:hAnsi="Times New Roman"/>
          <w:sz w:val="22"/>
          <w:szCs w:val="22"/>
          <w:color w:val="auto"/>
        </w:rPr>
      </w:pPr>
    </w:p>
    <w:p>
      <w:pPr>
        <w:jc w:val="both"/>
        <w:ind w:left="644" w:firstLine="1300"/>
        <w:spacing w:after="0" w:line="257" w:lineRule="auto"/>
        <w:tabs>
          <w:tab w:leader="none" w:pos="2498" w:val="left"/>
        </w:tabs>
        <w:numPr>
          <w:ilvl w:val="2"/>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pay to Employee the Prorated Target Bonus, payable in a lump sum on the Company’s first regularly scheduled pay date that is on or after the date that is sixty (60) days after the Termination Date.</w:t>
      </w:r>
    </w:p>
    <w:p>
      <w:pPr>
        <w:spacing w:after="0" w:line="172" w:lineRule="exact"/>
        <w:rPr>
          <w:rFonts w:ascii="Times New Roman" w:cs="Times New Roman" w:eastAsia="Times New Roman" w:hAnsi="Times New Roman"/>
          <w:sz w:val="22"/>
          <w:szCs w:val="22"/>
          <w:color w:val="010000"/>
        </w:rPr>
      </w:pPr>
    </w:p>
    <w:p>
      <w:pPr>
        <w:ind w:left="644" w:right="20" w:firstLine="1300"/>
        <w:spacing w:after="0" w:line="271" w:lineRule="auto"/>
        <w:tabs>
          <w:tab w:leader="none" w:pos="2660" w:val="left"/>
        </w:tabs>
        <w:numPr>
          <w:ilvl w:val="2"/>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Employee shall be eligible for the COBRA Continuation, subject to the same terms, conditions and eligibility requirements set forth in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84"/>
          </w:cols>
          <w:pgMar w:left="976" w:top="1422" w:right="339" w:bottom="1440" w:gutter="0" w:footer="0" w:header="0"/>
        </w:sectPr>
      </w:pPr>
    </w:p>
    <w:bookmarkStart w:id="65" w:name="page66"/>
    <w:bookmarkEnd w:id="65"/>
    <w:p>
      <w:pPr>
        <w:ind w:left="644" w:right="20"/>
        <w:spacing w:after="0" w:line="271" w:lineRule="auto"/>
        <w:rPr>
          <w:sz w:val="20"/>
          <w:szCs w:val="20"/>
          <w:color w:val="auto"/>
        </w:rPr>
      </w:pPr>
      <w:r>
        <w:rPr>
          <w:rFonts w:ascii="Times New Roman" w:cs="Times New Roman" w:eastAsia="Times New Roman" w:hAnsi="Times New Roman"/>
          <w:sz w:val="22"/>
          <w:szCs w:val="22"/>
          <w:color w:val="auto"/>
        </w:rPr>
        <w:t xml:space="preserve">The payments and benefits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are collectively referred to herein as the “</w:t>
      </w:r>
      <w:r>
        <w:rPr>
          <w:rFonts w:ascii="Times New Roman" w:cs="Times New Roman" w:eastAsia="Times New Roman" w:hAnsi="Times New Roman"/>
          <w:sz w:val="22"/>
          <w:szCs w:val="22"/>
          <w:u w:val="single" w:color="auto"/>
          <w:color w:val="auto"/>
        </w:rPr>
        <w:t>Non-CIC Termination Benefits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804" w:hanging="508"/>
        <w:spacing w:after="0"/>
        <w:tabs>
          <w:tab w:leader="none" w:pos="1804" w:val="left"/>
        </w:tabs>
        <w:numPr>
          <w:ilvl w:val="1"/>
          <w:numId w:val="10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Within a Change in Control Period</w:t>
      </w:r>
      <w:r>
        <w:rPr>
          <w:rFonts w:ascii="Times New Roman" w:cs="Times New Roman" w:eastAsia="Times New Roman" w:hAnsi="Times New Roman"/>
          <w:sz w:val="21"/>
          <w:szCs w:val="21"/>
          <w:color w:val="auto"/>
        </w:rPr>
        <w:t>. If Employee’s employment hereunder is terminated</w:t>
      </w:r>
    </w:p>
    <w:p>
      <w:pPr>
        <w:spacing w:after="0" w:line="40" w:lineRule="exact"/>
        <w:rPr>
          <w:rFonts w:ascii="Times New Roman" w:cs="Times New Roman" w:eastAsia="Times New Roman" w:hAnsi="Times New Roman"/>
          <w:sz w:val="21"/>
          <w:szCs w:val="21"/>
          <w:color w:val="010000"/>
        </w:rPr>
      </w:pPr>
    </w:p>
    <w:p>
      <w:pPr>
        <w:jc w:val="both"/>
        <w:ind w:left="4" w:hanging="4"/>
        <w:spacing w:after="0" w:line="259" w:lineRule="auto"/>
        <w:tabs>
          <w:tab w:leader="none" w:pos="361"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Company without Cause (including as a result of a non-renewal of the Term or any extension thereof)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or is terminated by Employee for Good Reason pursuant to </w:t>
      </w:r>
      <w:r>
        <w:rPr>
          <w:rFonts w:ascii="Times New Roman" w:cs="Times New Roman" w:eastAsia="Times New Roman" w:hAnsi="Times New Roman"/>
          <w:sz w:val="21"/>
          <w:szCs w:val="21"/>
          <w:u w:val="single" w:color="auto"/>
          <w:color w:val="auto"/>
        </w:rPr>
        <w:t>Section 7(c)</w:t>
      </w:r>
      <w:r>
        <w:rPr>
          <w:rFonts w:ascii="Times New Roman" w:cs="Times New Roman" w:eastAsia="Times New Roman" w:hAnsi="Times New Roman"/>
          <w:sz w:val="21"/>
          <w:szCs w:val="21"/>
          <w:color w:val="auto"/>
        </w:rPr>
        <w:t xml:space="preserve"> and (B) the Termination Date is within the Change in Control Period, then the Company shall pay Employee the Accrued Benefits and any Prior Year Bonus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and does not revoke within any time provided by the Company to do so, the Release,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Times New Roman" w:cs="Times New Roman" w:eastAsia="Times New Roman" w:hAnsi="Times New Roman"/>
          <w:sz w:val="21"/>
          <w:szCs w:val="21"/>
          <w:u w:val="single" w:color="auto"/>
          <w:color w:val="auto"/>
        </w:rPr>
        <w:t>Section 7(f)(ii)</w:t>
      </w:r>
      <w:r>
        <w:rPr>
          <w:rFonts w:ascii="Times New Roman" w:cs="Times New Roman" w:eastAsia="Times New Roman" w:hAnsi="Times New Roman"/>
          <w:sz w:val="21"/>
          <w:szCs w:val="21"/>
          <w:color w:val="auto"/>
        </w:rPr>
        <w:t xml:space="preserve">; and (y) abides by the terms of each of </w:t>
      </w:r>
      <w:r>
        <w:rPr>
          <w:rFonts w:ascii="Times New Roman" w:cs="Times New Roman" w:eastAsia="Times New Roman" w:hAnsi="Times New Roman"/>
          <w:sz w:val="21"/>
          <w:szCs w:val="21"/>
          <w:u w:val="single" w:color="auto"/>
          <w:color w:val="auto"/>
        </w:rPr>
        <w:t>Sections 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then:</w:t>
      </w:r>
    </w:p>
    <w:p>
      <w:pPr>
        <w:spacing w:after="0" w:line="181" w:lineRule="exact"/>
        <w:rPr>
          <w:rFonts w:ascii="Times New Roman" w:cs="Times New Roman" w:eastAsia="Times New Roman" w:hAnsi="Times New Roman"/>
          <w:sz w:val="21"/>
          <w:szCs w:val="21"/>
          <w:color w:val="auto"/>
        </w:rPr>
      </w:pPr>
    </w:p>
    <w:p>
      <w:pPr>
        <w:jc w:val="both"/>
        <w:ind w:left="644" w:firstLine="1300"/>
        <w:spacing w:after="0" w:line="253" w:lineRule="auto"/>
        <w:tabs>
          <w:tab w:leader="none" w:pos="2483" w:val="left"/>
        </w:tabs>
        <w:numPr>
          <w:ilvl w:val="2"/>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make a lump sum payment to Employee equal to the product of two and ninety-nine hundredths (2.99) times the sum of (I) twelve (12) months’ of Employee’s Base Salary and (II) the target Annual Bonus, where each are determined as of the year in which such termination occurs, with such lump sum payable on the Company’s first regularly scheduled pay date that is on or after the date that is sixty (60) days after the Termination Date.</w:t>
      </w:r>
    </w:p>
    <w:p>
      <w:pPr>
        <w:spacing w:after="0" w:line="178" w:lineRule="exact"/>
        <w:rPr>
          <w:rFonts w:ascii="Times New Roman" w:cs="Times New Roman" w:eastAsia="Times New Roman" w:hAnsi="Times New Roman"/>
          <w:sz w:val="22"/>
          <w:szCs w:val="22"/>
          <w:color w:val="010000"/>
        </w:rPr>
      </w:pPr>
    </w:p>
    <w:p>
      <w:pPr>
        <w:jc w:val="both"/>
        <w:ind w:left="644" w:firstLine="1300"/>
        <w:spacing w:after="0" w:line="257" w:lineRule="auto"/>
        <w:tabs>
          <w:tab w:leader="none" w:pos="2498" w:val="left"/>
        </w:tabs>
        <w:numPr>
          <w:ilvl w:val="2"/>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pay to Employee the Prorated Target Bonus, payable in a lump sum on the Company’s first regularly scheduled pay date that is on or after the date that is sixty (60) days after the Termination Date.</w:t>
      </w:r>
    </w:p>
    <w:p>
      <w:pPr>
        <w:spacing w:after="0" w:line="172" w:lineRule="exact"/>
        <w:rPr>
          <w:rFonts w:ascii="Times New Roman" w:cs="Times New Roman" w:eastAsia="Times New Roman" w:hAnsi="Times New Roman"/>
          <w:sz w:val="22"/>
          <w:szCs w:val="22"/>
          <w:color w:val="010000"/>
        </w:rPr>
      </w:pPr>
    </w:p>
    <w:p>
      <w:pPr>
        <w:jc w:val="both"/>
        <w:ind w:left="644" w:firstLine="1300"/>
        <w:spacing w:after="0" w:line="268" w:lineRule="auto"/>
        <w:tabs>
          <w:tab w:leader="none" w:pos="2660" w:val="left"/>
        </w:tabs>
        <w:numPr>
          <w:ilvl w:val="2"/>
          <w:numId w:val="10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Employee shall be eligible for the COBRA Continuation, subject to the same terms, conditions and eligibility requirements set forth in </w:t>
      </w:r>
      <w:r>
        <w:rPr>
          <w:rFonts w:ascii="Times New Roman" w:cs="Times New Roman" w:eastAsia="Times New Roman" w:hAnsi="Times New Roman"/>
          <w:sz w:val="21"/>
          <w:szCs w:val="21"/>
          <w:u w:val="single" w:color="auto"/>
          <w:color w:val="auto"/>
        </w:rPr>
        <w:t>Section 7(d)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COBRA Continuation will be provided at a monthly rate that is no greater than the monthly premium payable by Employee for coverage under the Company’s group health plan covering Employee and Employee’s eligible dependents as of immediately prior to the Termination Date, with any cost in excess of such amount being paid or reimbursed by the Company.</w:t>
      </w:r>
    </w:p>
    <w:p>
      <w:pPr>
        <w:spacing w:after="0" w:line="164" w:lineRule="exact"/>
        <w:rPr>
          <w:sz w:val="20"/>
          <w:szCs w:val="20"/>
          <w:color w:val="auto"/>
        </w:rPr>
      </w:pPr>
    </w:p>
    <w:p>
      <w:pPr>
        <w:ind w:left="644" w:right="20"/>
        <w:spacing w:after="0" w:line="271" w:lineRule="auto"/>
        <w:rPr>
          <w:sz w:val="20"/>
          <w:szCs w:val="20"/>
          <w:color w:val="auto"/>
        </w:rPr>
      </w:pPr>
      <w:r>
        <w:rPr>
          <w:rFonts w:ascii="Times New Roman" w:cs="Times New Roman" w:eastAsia="Times New Roman" w:hAnsi="Times New Roman"/>
          <w:sz w:val="22"/>
          <w:szCs w:val="22"/>
          <w:color w:val="auto"/>
        </w:rPr>
        <w:t xml:space="preserve">The payments and benefits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are collectively referred to herein as the “</w:t>
      </w:r>
      <w:r>
        <w:rPr>
          <w:rFonts w:ascii="Times New Roman" w:cs="Times New Roman" w:eastAsia="Times New Roman" w:hAnsi="Times New Roman"/>
          <w:sz w:val="22"/>
          <w:szCs w:val="22"/>
          <w:u w:val="single" w:color="auto"/>
          <w:color w:val="auto"/>
        </w:rPr>
        <w:t>CIC Termination Benefits</w:t>
      </w:r>
      <w:r>
        <w:rPr>
          <w:rFonts w:ascii="Times New Roman" w:cs="Times New Roman" w:eastAsia="Times New Roman" w:hAnsi="Times New Roman"/>
          <w:sz w:val="22"/>
          <w:szCs w:val="22"/>
          <w:color w:val="auto"/>
        </w:rPr>
        <w:t>” (and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84"/>
          </w:cols>
          <w:pgMar w:left="976" w:top="1422" w:right="339" w:bottom="1440" w:gutter="0" w:footer="0" w:header="0"/>
        </w:sectPr>
      </w:pPr>
    </w:p>
    <w:bookmarkStart w:id="66" w:name="page67"/>
    <w:bookmarkEnd w:id="66"/>
    <w:p>
      <w:pPr>
        <w:ind w:left="1300"/>
        <w:spacing w:after="0"/>
        <w:rPr>
          <w:sz w:val="20"/>
          <w:szCs w:val="20"/>
          <w:color w:val="auto"/>
        </w:rPr>
      </w:pPr>
      <w:r>
        <w:rPr>
          <w:rFonts w:ascii="Times New Roman" w:cs="Times New Roman" w:eastAsia="Times New Roman" w:hAnsi="Times New Roman"/>
          <w:sz w:val="22"/>
          <w:szCs w:val="22"/>
          <w:color w:val="auto"/>
        </w:rPr>
        <w:t>with the Non-CIC Termination Benefits, as applicable, the “</w:t>
      </w:r>
      <w:r>
        <w:rPr>
          <w:rFonts w:ascii="Times New Roman" w:cs="Times New Roman" w:eastAsia="Times New Roman" w:hAnsi="Times New Roman"/>
          <w:sz w:val="22"/>
          <w:szCs w:val="22"/>
          <w:u w:val="single" w:color="auto"/>
          <w:color w:val="auto"/>
        </w:rPr>
        <w:t>Termination Benefits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1292"/>
        <w:spacing w:after="0" w:line="250" w:lineRule="auto"/>
        <w:tabs>
          <w:tab w:leader="none" w:pos="2496" w:val="left"/>
        </w:tabs>
        <w:numPr>
          <w:ilvl w:val="2"/>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Release is not executed and returned to the Company on or before the Release Expiration Date, and the required revocation period has not fully expired without revocation of the Release by Employee, then Employee shall not be entitled to any portion of the applicable Termination Benefits. As used herein, the “</w:t>
      </w:r>
      <w:r>
        <w:rPr>
          <w:rFonts w:ascii="Times New Roman" w:cs="Times New Roman" w:eastAsia="Times New Roman" w:hAnsi="Times New Roman"/>
          <w:sz w:val="22"/>
          <w:szCs w:val="22"/>
          <w:u w:val="single" w:color="auto"/>
          <w:color w:val="auto"/>
        </w:rPr>
        <w:t>Release Expiration Date</w:t>
      </w:r>
      <w:r>
        <w:rPr>
          <w:rFonts w:ascii="Times New Roman" w:cs="Times New Roman" w:eastAsia="Times New Roman" w:hAnsi="Times New Roman"/>
          <w:sz w:val="22"/>
          <w:szCs w:val="22"/>
          <w:color w:val="auto"/>
        </w:rPr>
        <w:t>” 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spacing w:after="0" w:line="186"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777" w:val="left"/>
        </w:tabs>
        <w:numPr>
          <w:ilvl w:val="1"/>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After-Acquired Evidence</w:t>
      </w:r>
      <w:r>
        <w:rPr>
          <w:rFonts w:ascii="Times New Roman" w:cs="Times New Roman" w:eastAsia="Times New Roman" w:hAnsi="Times New Roman"/>
          <w:sz w:val="22"/>
          <w:szCs w:val="22"/>
          <w:color w:val="auto"/>
        </w:rPr>
        <w:t xml:space="preserve">. Notwithstanding any provision of this Agreement to the contrary, in the event that the Company determines, in good faith, that Employee is eligible to receive Termination Benefits pursuant to </w:t>
      </w:r>
      <w:r>
        <w:rPr>
          <w:rFonts w:ascii="Times New Roman" w:cs="Times New Roman" w:eastAsia="Times New Roman" w:hAnsi="Times New Roman"/>
          <w:sz w:val="22"/>
          <w:szCs w:val="22"/>
          <w:u w:val="single" w:color="auto"/>
          <w:color w:val="auto"/>
        </w:rPr>
        <w:t>Section 7(f)</w:t>
      </w:r>
      <w:r>
        <w:rPr>
          <w:rFonts w:ascii="Times New Roman" w:cs="Times New Roman" w:eastAsia="Times New Roman" w:hAnsi="Times New Roman"/>
          <w:sz w:val="22"/>
          <w:szCs w:val="22"/>
          <w:color w:val="auto"/>
        </w:rPr>
        <w:t xml:space="preserve"> but, after such determination, the Company subsequently acquires evidence or determines that: (i) Employee has failed to abide by the terms of </w:t>
      </w:r>
      <w:r>
        <w:rPr>
          <w:rFonts w:ascii="Times New Roman" w:cs="Times New Roman" w:eastAsia="Times New Roman" w:hAnsi="Times New Roman"/>
          <w:sz w:val="22"/>
          <w:szCs w:val="22"/>
          <w:u w:val="single" w:color="auto"/>
          <w:color w:val="auto"/>
        </w:rPr>
        <w:t>Sections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or (ii) a Cause condition existed prior to the Termination Date that, had the Company been fully aware of such condition, would have given the Company the right to terminate Employee’s employment pursuant to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have been satisfied. In addition, the provisions of the last sentence of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shall apply, and, subject to any limitation under applicable law, previously paid compensation pursuant to </w:t>
      </w:r>
      <w:r>
        <w:rPr>
          <w:rFonts w:ascii="Times New Roman" w:cs="Times New Roman" w:eastAsia="Times New Roman" w:hAnsi="Times New Roman"/>
          <w:sz w:val="22"/>
          <w:szCs w:val="22"/>
          <w:u w:val="single" w:color="auto"/>
          <w:color w:val="auto"/>
        </w:rPr>
        <w:t>Sections 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3(c)</w:t>
      </w:r>
      <w:r>
        <w:rPr>
          <w:rFonts w:ascii="Times New Roman" w:cs="Times New Roman" w:eastAsia="Times New Roman" w:hAnsi="Times New Roman"/>
          <w:sz w:val="22"/>
          <w:szCs w:val="22"/>
          <w:color w:val="auto"/>
        </w:rPr>
        <w:t xml:space="preserve"> shall be subject to clawback or forfeiture and cancellation at the discretion of the Compensation Committee in the event Employee fails to abide by the terms of </w:t>
      </w:r>
      <w:r>
        <w:rPr>
          <w:rFonts w:ascii="Times New Roman" w:cs="Times New Roman" w:eastAsia="Times New Roman" w:hAnsi="Times New Roman"/>
          <w:sz w:val="22"/>
          <w:szCs w:val="22"/>
          <w:u w:val="single" w:color="auto"/>
          <w:color w:val="auto"/>
        </w:rPr>
        <w:t>Sections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010000"/>
        </w:rPr>
      </w:pPr>
    </w:p>
    <w:p>
      <w:pPr>
        <w:jc w:val="both"/>
        <w:ind w:firstLine="656"/>
        <w:spacing w:after="0" w:line="252" w:lineRule="auto"/>
        <w:tabs>
          <w:tab w:leader="none" w:pos="1053" w:val="left"/>
        </w:tabs>
        <w:numPr>
          <w:ilvl w:val="0"/>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Disclosures</w:t>
      </w:r>
      <w:r>
        <w:rPr>
          <w:rFonts w:ascii="Times New Roman" w:cs="Times New Roman" w:eastAsia="Times New Roman" w:hAnsi="Times New Roman"/>
          <w:sz w:val="22"/>
          <w:szCs w:val="22"/>
          <w:color w:val="auto"/>
        </w:rPr>
        <w:t>. Promptly (and in any event, within three (3) Business Days) upon becoming aware of (a) any actual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Times New Roman" w:cs="Times New Roman" w:eastAsia="Times New Roman" w:hAnsi="Times New Roman"/>
          <w:sz w:val="22"/>
          <w:szCs w:val="22"/>
          <w:u w:val="single" w:color="auto"/>
          <w:color w:val="auto"/>
        </w:rPr>
        <w:t>Conflict of Interest</w:t>
      </w:r>
      <w:r>
        <w:rPr>
          <w:rFonts w:ascii="Times New Roman" w:cs="Times New Roman" w:eastAsia="Times New Roman" w:hAnsi="Times New Roman"/>
          <w:sz w:val="22"/>
          <w:szCs w:val="22"/>
          <w:color w:val="auto"/>
        </w:rPr>
        <w:t>” shall exist when Employee engages in, or plans to engage in, any activities, associations, or interests that conflict with, or create an appearance of a conflict with, Employee’s duties, responsibilities, authorities, or obligations for or to any member of the Company Group.</w:t>
      </w:r>
    </w:p>
    <w:p>
      <w:pPr>
        <w:spacing w:after="0" w:line="174" w:lineRule="exact"/>
        <w:rPr>
          <w:rFonts w:ascii="Times New Roman" w:cs="Times New Roman" w:eastAsia="Times New Roman" w:hAnsi="Times New Roman"/>
          <w:sz w:val="22"/>
          <w:szCs w:val="22"/>
          <w:color w:val="010000"/>
        </w:rPr>
      </w:pPr>
    </w:p>
    <w:p>
      <w:pPr>
        <w:jc w:val="both"/>
        <w:ind w:firstLine="656"/>
        <w:spacing w:after="0" w:line="254" w:lineRule="auto"/>
        <w:tabs>
          <w:tab w:leader="none" w:pos="1093" w:val="left"/>
        </w:tabs>
        <w:numPr>
          <w:ilvl w:val="0"/>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In the course of Employee’s employment with the Company and the performance of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67" w:name="page68"/>
    <w:bookmarkEnd w:id="67"/>
    <w:p>
      <w:pPr>
        <w:jc w:val="both"/>
        <w:ind w:firstLine="1304"/>
        <w:spacing w:after="0" w:line="250" w:lineRule="auto"/>
        <w:tabs>
          <w:tab w:leader="none" w:pos="1765"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9(e)</w:t>
      </w:r>
      <w:r>
        <w:rPr>
          <w:rFonts w:ascii="Times New Roman" w:cs="Times New Roman" w:eastAsia="Times New Roman" w:hAnsi="Times New Roman"/>
          <w:sz w:val="22"/>
          <w:szCs w:val="22"/>
          <w:color w:val="auto"/>
        </w:rPr>
        <w:t xml:space="preserve">, both during the Employment Period and thereafter, except as expressly permitted by this Agreement or by directive of the Board, for the benefit of the Company Group, or while acting in the course and scope of his employment, Employee shall not disclose any Confidential Information to any person or entity and shall not use any Confidential Information. Employee shall follow all Company policies and protocols regarding the security of all documents and other materials containing Confidential Information to the extent such policies have been clearly communicated in writing or made available to Employee (regardless of the medium on which Confidential Information is stored). The covenants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9(a)</w:t>
      </w:r>
      <w:r>
        <w:rPr>
          <w:rFonts w:ascii="Times New Roman" w:cs="Times New Roman" w:eastAsia="Times New Roman" w:hAnsi="Times New Roman"/>
          <w:sz w:val="22"/>
          <w:szCs w:val="22"/>
          <w:color w:val="auto"/>
        </w:rPr>
        <w:t xml:space="preserve"> shall apply to all Confidential Information, whether now known or later to become known to Employee during the period that Employee is employed by or affiliated with or providing services to the Company or any other member of the Company Group.</w:t>
      </w:r>
    </w:p>
    <w:p>
      <w:pPr>
        <w:spacing w:after="0" w:line="179" w:lineRule="exact"/>
        <w:rPr>
          <w:rFonts w:ascii="Times New Roman" w:cs="Times New Roman" w:eastAsia="Times New Roman" w:hAnsi="Times New Roman"/>
          <w:sz w:val="22"/>
          <w:szCs w:val="22"/>
          <w:color w:val="010000"/>
        </w:rPr>
      </w:pPr>
    </w:p>
    <w:p>
      <w:pPr>
        <w:ind w:right="20" w:firstLine="1304"/>
        <w:spacing w:after="0" w:line="271" w:lineRule="auto"/>
        <w:tabs>
          <w:tab w:leader="none" w:pos="1993"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 provision of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xml:space="preserve"> to the contrary, Employee may make the following disclosures and uses of Confidential Information:</w:t>
      </w:r>
    </w:p>
    <w:p>
      <w:pPr>
        <w:spacing w:after="0" w:line="157" w:lineRule="exact"/>
        <w:rPr>
          <w:rFonts w:ascii="Times New Roman" w:cs="Times New Roman" w:eastAsia="Times New Roman" w:hAnsi="Times New Roman"/>
          <w:sz w:val="22"/>
          <w:szCs w:val="22"/>
          <w:color w:val="010000"/>
        </w:rPr>
      </w:pPr>
    </w:p>
    <w:p>
      <w:pPr>
        <w:ind w:left="660" w:firstLine="1292"/>
        <w:spacing w:after="0" w:line="271" w:lineRule="auto"/>
        <w:tabs>
          <w:tab w:leader="none" w:pos="2457" w:val="left"/>
        </w:tabs>
        <w:numPr>
          <w:ilvl w:val="1"/>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to other employees of a member of the Company Group who have a need to know the information in connection with the businesses of the Company Group;</w:t>
      </w:r>
    </w:p>
    <w:p>
      <w:pPr>
        <w:spacing w:after="0" w:line="157" w:lineRule="exact"/>
        <w:rPr>
          <w:rFonts w:ascii="Times New Roman" w:cs="Times New Roman" w:eastAsia="Times New Roman" w:hAnsi="Times New Roman"/>
          <w:sz w:val="22"/>
          <w:szCs w:val="22"/>
          <w:color w:val="010000"/>
        </w:rPr>
      </w:pPr>
    </w:p>
    <w:p>
      <w:pPr>
        <w:jc w:val="both"/>
        <w:ind w:left="660" w:firstLine="1292"/>
        <w:spacing w:after="0" w:line="263" w:lineRule="auto"/>
        <w:tabs>
          <w:tab w:leader="none" w:pos="2638" w:val="left"/>
        </w:tabs>
        <w:numPr>
          <w:ilvl w:val="1"/>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to third parties when, in the reasonable and good faith belief of Employee, such disclosure is in connection with Employee’s performance of Employee’s duties under this Agreement and in the best interest of the Company Group;</w:t>
      </w:r>
    </w:p>
    <w:p>
      <w:pPr>
        <w:spacing w:after="0" w:line="167" w:lineRule="exact"/>
        <w:rPr>
          <w:rFonts w:ascii="Times New Roman" w:cs="Times New Roman" w:eastAsia="Times New Roman" w:hAnsi="Times New Roman"/>
          <w:sz w:val="22"/>
          <w:szCs w:val="22"/>
          <w:color w:val="010000"/>
        </w:rPr>
      </w:pPr>
    </w:p>
    <w:p>
      <w:pPr>
        <w:ind w:left="2500" w:hanging="548"/>
        <w:spacing w:after="0"/>
        <w:tabs>
          <w:tab w:leader="none" w:pos="2500" w:val="left"/>
        </w:tabs>
        <w:numPr>
          <w:ilvl w:val="1"/>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and uses that are approved in writing by the Board; or</w:t>
      </w:r>
    </w:p>
    <w:p>
      <w:pPr>
        <w:spacing w:after="0" w:line="219" w:lineRule="exact"/>
        <w:rPr>
          <w:rFonts w:ascii="Times New Roman" w:cs="Times New Roman" w:eastAsia="Times New Roman" w:hAnsi="Times New Roman"/>
          <w:sz w:val="22"/>
          <w:szCs w:val="22"/>
          <w:color w:val="010000"/>
        </w:rPr>
      </w:pPr>
    </w:p>
    <w:p>
      <w:pPr>
        <w:jc w:val="both"/>
        <w:ind w:left="660" w:firstLine="1292"/>
        <w:spacing w:after="0" w:line="263" w:lineRule="auto"/>
        <w:tabs>
          <w:tab w:leader="none" w:pos="2538" w:val="left"/>
        </w:tabs>
        <w:numPr>
          <w:ilvl w:val="1"/>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to a person or entity that has (x) been retained by a member of the Company Group to provide services to one or more members of the Company Group and (y) agreed in writing to abide by the terms of a confidentiality agreement.</w:t>
      </w:r>
    </w:p>
    <w:p>
      <w:pPr>
        <w:spacing w:after="0" w:line="167"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914"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spacing w:after="0" w:line="180"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858"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68" w:name="page69"/>
    <w:bookmarkEnd w:id="68"/>
    <w:p>
      <w:pPr>
        <w:jc w:val="both"/>
        <w:spacing w:after="0" w:line="260" w:lineRule="auto"/>
        <w:rPr>
          <w:sz w:val="20"/>
          <w:szCs w:val="20"/>
          <w:color w:val="auto"/>
        </w:rPr>
      </w:pPr>
      <w:r>
        <w:rPr>
          <w:rFonts w:ascii="Times New Roman" w:cs="Times New Roman" w:eastAsia="Times New Roman" w:hAnsi="Times New Roman"/>
          <w:sz w:val="21"/>
          <w:szCs w:val="21"/>
          <w:color w:val="auto"/>
        </w:rPr>
        <w:t>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such source is not bound by a confidentiality agreement with, or other obligation with respect to confidentiality to, a member of the Company Group.</w:t>
      </w:r>
    </w:p>
    <w:p>
      <w:pPr>
        <w:spacing w:after="0" w:line="175" w:lineRule="exact"/>
        <w:rPr>
          <w:sz w:val="20"/>
          <w:szCs w:val="20"/>
          <w:color w:val="auto"/>
        </w:rPr>
      </w:pPr>
    </w:p>
    <w:p>
      <w:pPr>
        <w:ind w:left="1780" w:hanging="476"/>
        <w:spacing w:after="0"/>
        <w:tabs>
          <w:tab w:leader="none" w:pos="1780" w:val="left"/>
        </w:tabs>
        <w:numPr>
          <w:ilvl w:val="1"/>
          <w:numId w:val="11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the foregoing, nothing in this Agreement shall prohibit or restrict Employee from lawfully:</w:t>
      </w:r>
    </w:p>
    <w:p>
      <w:pPr>
        <w:spacing w:after="0" w:line="39" w:lineRule="exact"/>
        <w:rPr>
          <w:rFonts w:ascii="Times New Roman" w:cs="Times New Roman" w:eastAsia="Times New Roman" w:hAnsi="Times New Roman"/>
          <w:sz w:val="21"/>
          <w:szCs w:val="21"/>
          <w:color w:val="010000"/>
        </w:rPr>
      </w:pPr>
    </w:p>
    <w:p>
      <w:pPr>
        <w:jc w:val="both"/>
        <w:ind w:firstLine="8"/>
        <w:spacing w:after="0" w:line="259" w:lineRule="auto"/>
        <w:tabs>
          <w:tab w:leader="none" w:pos="26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initiating communications directly with, cooperating with, providing information to, causing information to be provided to, or otherwise assisting in an investigation by, any governmental or regulatory agency, entity, official or authority regarding a possible violation of any law; (ii) responding to any inquiry or legal process directed to Employee from any such governmental authority;</w:t>
      </w:r>
    </w:p>
    <w:p>
      <w:pPr>
        <w:spacing w:after="0" w:line="1" w:lineRule="exact"/>
        <w:rPr>
          <w:rFonts w:ascii="Times New Roman" w:cs="Times New Roman" w:eastAsia="Times New Roman" w:hAnsi="Times New Roman"/>
          <w:sz w:val="21"/>
          <w:szCs w:val="21"/>
          <w:color w:val="auto"/>
        </w:rPr>
      </w:pPr>
    </w:p>
    <w:p>
      <w:pPr>
        <w:jc w:val="both"/>
        <w:ind w:firstLine="8"/>
        <w:spacing w:after="0" w:line="257" w:lineRule="auto"/>
        <w:tabs>
          <w:tab w:leader="none" w:pos="391"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testifying, participating or otherwise assisting in any action or proceeding by any such governmental authority relating to a possible violation of law; or (iv) making any other disclosures that are protected under the whistleblower provisions of any applicable law. Nothing in this Agreement shall be interpreted to prohibit or restrict Employee to disclose an act of sexual abuse or facts related to an act of sexual abuse. Additionally, pursuant to the federal Defend Trade Secrets Act of 2016, an individual shall not be held criminally or civilly liable under any federal or state trade secret law for the disclosure of a trade secret that:</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is made (1) in confidence to a federal, state or local government official, either directly or indirectly, or to an attorney and</w:t>
      </w:r>
    </w:p>
    <w:p>
      <w:pPr>
        <w:spacing w:after="0" w:line="3" w:lineRule="exact"/>
        <w:rPr>
          <w:rFonts w:ascii="Times New Roman" w:cs="Times New Roman" w:eastAsia="Times New Roman" w:hAnsi="Times New Roman"/>
          <w:sz w:val="21"/>
          <w:szCs w:val="21"/>
          <w:color w:val="auto"/>
        </w:rPr>
      </w:pPr>
    </w:p>
    <w:p>
      <w:pPr>
        <w:jc w:val="both"/>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69" w:name="page70"/>
    <w:bookmarkEnd w:id="69"/>
    <w:p>
      <w:pPr>
        <w:jc w:val="both"/>
        <w:ind w:firstLine="656"/>
        <w:spacing w:after="0" w:line="263" w:lineRule="auto"/>
        <w:tabs>
          <w:tab w:leader="none" w:pos="1242" w:val="left"/>
        </w:tabs>
        <w:numPr>
          <w:ilvl w:val="1"/>
          <w:numId w:val="1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Non-Competition; Non-Solicitation</w:t>
      </w:r>
      <w:r>
        <w:rPr>
          <w:rFonts w:ascii="Times New Roman" w:cs="Times New Roman" w:eastAsia="Times New Roman" w:hAnsi="Times New Roman"/>
          <w:sz w:val="21"/>
          <w:szCs w:val="21"/>
          <w:color w:val="auto"/>
        </w:rPr>
        <w:t>. Employee acknowledges that (i) Employee performs services of a unique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nature for the Company Group that are irreplaceable, and that Employee’s performance of such services to a competing business will result in irreparable harm to the Company Group, (ii) Employee has had and will continue to have access to Confidential Information which, if disclosed, would unfairly and inappropriately assist in competition against the Company Group, (iii) in the course of Employee’s employment by a competitor, Employee would inevitably use or disclose such Confidential Information,</w:t>
      </w:r>
    </w:p>
    <w:p>
      <w:pPr>
        <w:jc w:val="both"/>
        <w:ind w:firstLine="8"/>
        <w:spacing w:after="0" w:line="247" w:lineRule="auto"/>
        <w:tabs>
          <w:tab w:leader="none" w:pos="39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has substantial relationships with their Customers and Employee has had and will continue to have access to these Customers, (v) Employee has received and will receive specialized training from the Company Group, and (vi) Employee has generated and will continue to generate goodwill for the Company Group in the course of Employee’s employment. Accordingly, Employee agrees that for the duration of Employee’s employment and for one (1) year thereafter, Employee shall not, directly or indirectly:</w:t>
      </w:r>
    </w:p>
    <w:p>
      <w:pPr>
        <w:spacing w:after="0" w:line="186" w:lineRule="exact"/>
        <w:rPr>
          <w:rFonts w:ascii="Times New Roman" w:cs="Times New Roman" w:eastAsia="Times New Roman" w:hAnsi="Times New Roman"/>
          <w:sz w:val="22"/>
          <w:szCs w:val="22"/>
          <w:color w:val="auto"/>
        </w:rPr>
      </w:pPr>
    </w:p>
    <w:p>
      <w:pPr>
        <w:jc w:val="both"/>
        <w:ind w:firstLine="1304"/>
        <w:spacing w:after="0" w:line="246" w:lineRule="auto"/>
        <w:tabs>
          <w:tab w:leader="none" w:pos="1765" w:val="left"/>
        </w:tabs>
        <w:numPr>
          <w:ilvl w:val="2"/>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own, manage, operate, control, be employed by (whether as an employee, consultant, independent contractor or otherwise, and whether or not for compensation) or render services to any person, firm, corporation or other entity, in whatever form, engaged in competition with the Company Group on the Termination Date, which includes the business of merchant power production, including nuclear power generation, or any business material to the Company Group which the Company Group has taken substantial steps to engage in, on or prior to such date in the Pennsylvania-New Jersey-Maryland Interconnection region (as determined by the Federal Energy Regulatory Commission), Montana or any other geographic region in the United States where the Company Group conducts or has taken substantial steps to conduct business prior to the Termination Date and in which Employee had material responsibilities or made actual contact (whether in person, virtual, or by email, text, or phone) between Employee and a customer or prospective customer with whom Employee dealt on behalf of the Company Group or whose dealings with the Company Group were coordinated or supervised by Employee, or who received any product or service from the Company Group that resulted in payment of compensation to Employee, or about whom Employee obtained Confidential Information as a result of Employee’s employment with or service to the Company Group. Notwithstanding the foregoing, nothing herein shall prohibit Employee from being a passive owner of not more than three percent (3%) of the equity securities of a publicly traded corporation engaged in a business that is in competition with the Company Group, so long as Employee has no active participation in the business of such corporation. Nothing in this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shall prohibit Employee from being employed or engaged by any Person where such work would not involve any level of strategic, advisory, technical, creative, sales, or other activity similar to that which Employee provided to the Company Group (acknowledging that Employee’s role requires Employee to engage in strategic, managerial, and business development activity), or is in connection with an independent business line of such Person that is wholly unrelated to the business of the Company Group and Confidential Information (subject to protocols to prevent Employee from disclosing Confidential Information). In addition, the provisions of this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shall not be violated by Employee commencing employment with a subsidiary, division or unit of any entity that engages in a business in competition with the Company Group so long as Employee and such subsidiary, division or unit does not engage in a business in competition with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18" w:right="339" w:bottom="1440" w:gutter="0" w:footer="0" w:header="0"/>
        </w:sectPr>
      </w:pPr>
    </w:p>
    <w:bookmarkStart w:id="70" w:name="page71"/>
    <w:bookmarkEnd w:id="70"/>
    <w:p>
      <w:pPr>
        <w:jc w:val="both"/>
        <w:ind w:firstLine="1304"/>
        <w:spacing w:after="0" w:line="248" w:lineRule="auto"/>
        <w:tabs>
          <w:tab w:leader="none" w:pos="1804"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solicit, induce or attempt to induce any person who was, as of the Termination Date, an employee, agent or individual retained as an independent contractor of the Company or any member of the Company Group and with whom Employee had contact during the Employee’s employment with or service to the Company Group or who otherwise worked in the same department as the Employee (“</w:t>
      </w:r>
      <w:r>
        <w:rPr>
          <w:rFonts w:ascii="Times New Roman" w:cs="Times New Roman" w:eastAsia="Times New Roman" w:hAnsi="Times New Roman"/>
          <w:sz w:val="22"/>
          <w:szCs w:val="22"/>
          <w:u w:val="single" w:color="auto"/>
          <w:color w:val="auto"/>
        </w:rPr>
        <w:t>Covered Individuals</w:t>
      </w:r>
      <w:r>
        <w:rPr>
          <w:rFonts w:ascii="Times New Roman" w:cs="Times New Roman" w:eastAsia="Times New Roman" w:hAnsi="Times New Roman"/>
          <w:sz w:val="22"/>
          <w:szCs w:val="22"/>
          <w:color w:val="auto"/>
        </w:rPr>
        <w:t xml:space="preserve">”), to terminate his or her employment or contracting relationship with the Company Group, or to become an employee or independent contractor of any other Person or hire or retain any such employee, agent or individual, or take any action to materially assist or aid any other Person in identifying, hiring or soliciting any such employee, agent or individual (any employee, agent or individual retained as an independent contractor of the Company Group shall be deemed covered by this </w:t>
      </w:r>
      <w:r>
        <w:rPr>
          <w:rFonts w:ascii="Times New Roman" w:cs="Times New Roman" w:eastAsia="Times New Roman" w:hAnsi="Times New Roman"/>
          <w:sz w:val="22"/>
          <w:szCs w:val="22"/>
          <w:u w:val="single" w:color="auto"/>
          <w:color w:val="auto"/>
        </w:rPr>
        <w:t>Section 10(b)</w:t>
      </w:r>
      <w:r>
        <w:rPr>
          <w:rFonts w:ascii="Times New Roman" w:cs="Times New Roman" w:eastAsia="Times New Roman" w:hAnsi="Times New Roman"/>
          <w:sz w:val="22"/>
          <w:szCs w:val="22"/>
          <w:color w:val="auto"/>
        </w:rPr>
        <w:t xml:space="preserve"> while so employed or retained and for a period of six (6) months thereafter); notwithstanding anything to the contrary in this Agreement, general employment solicitations through advertisements for candidates in publicly available media for potential employment do not violate this provision; so long as such advertisements are not specifically targeted at any Covered Individuals;</w:t>
      </w:r>
    </w:p>
    <w:p>
      <w:pPr>
        <w:spacing w:after="0" w:line="188"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887"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solicit, induce or attempt to induce any Customer (as defined below) or any supplier or other business relation of the Company Group who was working with any member of the Company Group as of the Termination Date, to cease doing or reduce the amount of its business with such entity or in any way interfere with the relationship between any such Customer, supplier or other business relation and the Company Group; or</w:t>
      </w:r>
    </w:p>
    <w:p>
      <w:pPr>
        <w:spacing w:after="0" w:line="176" w:lineRule="exact"/>
        <w:rPr>
          <w:rFonts w:ascii="Times New Roman" w:cs="Times New Roman" w:eastAsia="Times New Roman" w:hAnsi="Times New Roman"/>
          <w:sz w:val="22"/>
          <w:szCs w:val="22"/>
          <w:color w:val="010000"/>
        </w:rPr>
      </w:pPr>
    </w:p>
    <w:p>
      <w:pPr>
        <w:ind w:firstLine="1304"/>
        <w:spacing w:after="0" w:line="271" w:lineRule="auto"/>
        <w:tabs>
          <w:tab w:leader="none" w:pos="1926"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interfere, or aid or induce any other person or entity in interfering, with the relationship between the Company Group and any of their respective vendors, joint venturers or licensors.</w:t>
      </w:r>
    </w:p>
    <w:p>
      <w:pPr>
        <w:spacing w:after="0" w:line="157" w:lineRule="exact"/>
        <w:rPr>
          <w:rFonts w:ascii="Times New Roman" w:cs="Times New Roman" w:eastAsia="Times New Roman" w:hAnsi="Times New Roman"/>
          <w:sz w:val="22"/>
          <w:szCs w:val="22"/>
          <w:color w:val="010000"/>
        </w:rPr>
      </w:pPr>
    </w:p>
    <w:p>
      <w:pPr>
        <w:ind w:left="1760" w:hanging="456"/>
        <w:spacing w:after="0"/>
        <w:tabs>
          <w:tab w:leader="none" w:pos="1760"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For the purposes of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the following definitions shall apply:</w:t>
      </w:r>
    </w:p>
    <w:p>
      <w:pPr>
        <w:spacing w:after="0" w:line="219" w:lineRule="exact"/>
        <w:rPr>
          <w:rFonts w:ascii="Times New Roman" w:cs="Times New Roman" w:eastAsia="Times New Roman" w:hAnsi="Times New Roman"/>
          <w:sz w:val="22"/>
          <w:szCs w:val="22"/>
          <w:color w:val="010000"/>
        </w:rPr>
      </w:pPr>
    </w:p>
    <w:p>
      <w:pPr>
        <w:jc w:val="both"/>
        <w:ind w:left="660" w:firstLine="1292"/>
        <w:spacing w:after="0" w:line="252" w:lineRule="auto"/>
        <w:tabs>
          <w:tab w:leader="none" w:pos="2416" w:val="left"/>
        </w:tabs>
        <w:numPr>
          <w:ilvl w:val="1"/>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Customer</w:t>
      </w:r>
      <w:r>
        <w:rPr>
          <w:rFonts w:ascii="Times New Roman" w:cs="Times New Roman" w:eastAsia="Times New Roman" w:hAnsi="Times New Roman"/>
          <w:sz w:val="22"/>
          <w:szCs w:val="22"/>
          <w:color w:val="auto"/>
        </w:rPr>
        <w:t>” means any Person who or which: (a) purchased products or services from the Company Group prior to or during Employee’s period of employment and who or which Employee was aware of or about whom or which Employee had received Confidential Information; or (b) was called upon or solicited by the Company or any member of the Company Group or any of their predecessors prior to or during the twelve (12) month period prior to the Termination Date, if Employee had direct or indirect contact with such Person as an employee or service provider of the Company Group or learned or became aware of such Person during Employee’s employment with or service to the Company Group.</w:t>
      </w:r>
    </w:p>
    <w:p>
      <w:pPr>
        <w:spacing w:after="0" w:line="179"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679" w:val="left"/>
        </w:tabs>
        <w:numPr>
          <w:ilvl w:val="1"/>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partnership, a limited liability company, a corporation, an association, a joint stock company, a trust, a joint venture, an unincorporated organization and a governmental entity or any department, agency or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71" w:name="page72"/>
    <w:bookmarkEnd w:id="71"/>
    <w:p>
      <w:pPr>
        <w:ind w:left="1140" w:hanging="484"/>
        <w:spacing w:after="0"/>
        <w:tabs>
          <w:tab w:leader="none" w:pos="1140" w:val="left"/>
        </w:tabs>
        <w:numPr>
          <w:ilvl w:val="1"/>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Ownership of Intellectual Property</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60" w:lineRule="auto"/>
        <w:tabs>
          <w:tab w:leader="none" w:pos="1806" w:val="left"/>
        </w:tabs>
        <w:numPr>
          <w:ilvl w:val="2"/>
          <w:numId w:val="1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w:t>
      </w:r>
    </w:p>
    <w:p>
      <w:pPr>
        <w:spacing w:after="0" w:line="3" w:lineRule="exact"/>
        <w:rPr>
          <w:rFonts w:ascii="Times New Roman" w:cs="Times New Roman" w:eastAsia="Times New Roman" w:hAnsi="Times New Roman"/>
          <w:sz w:val="21"/>
          <w:szCs w:val="21"/>
          <w:color w:val="010000"/>
        </w:rPr>
      </w:pPr>
    </w:p>
    <w:p>
      <w:pPr>
        <w:jc w:val="both"/>
        <w:ind w:firstLine="8"/>
        <w:spacing w:after="0" w:line="260" w:lineRule="auto"/>
        <w:tabs>
          <w:tab w:leader="none" w:pos="274"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Times New Roman" w:cs="Times New Roman" w:eastAsia="Times New Roman" w:hAnsi="Times New Roman"/>
          <w:sz w:val="21"/>
          <w:szCs w:val="21"/>
          <w:u w:val="single" w:color="auto"/>
          <w:color w:val="auto"/>
        </w:rPr>
        <w:t>Company Intellectual Property</w:t>
      </w:r>
      <w:r>
        <w:rPr>
          <w:rFonts w:ascii="Times New Roman" w:cs="Times New Roman" w:eastAsia="Times New Roman" w:hAnsi="Times New Roman"/>
          <w:sz w:val="21"/>
          <w:szCs w:val="21"/>
          <w:color w:val="auto"/>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spacing w:after="0" w:line="171"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39" w:val="left"/>
        </w:tabs>
        <w:numPr>
          <w:ilvl w:val="2"/>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spacing w:after="0" w:line="193"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60" w:val="left"/>
        </w:tabs>
        <w:numPr>
          <w:ilvl w:val="2"/>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spacing w:after="0" w:line="180"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1777" w:val="left"/>
        </w:tabs>
        <w:numPr>
          <w:ilvl w:val="2"/>
          <w:numId w:val="1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allowed by law, this Section applies to all rights that may be known as or referred to as “moral rights,” “artist’s rights,” “droit moral,” or the like, including without limitation those rights set forth in 17 U.S.C. §106A (collectively, “</w:t>
      </w:r>
      <w:r>
        <w:rPr>
          <w:rFonts w:ascii="Times New Roman" w:cs="Times New Roman" w:eastAsia="Times New Roman" w:hAnsi="Times New Roman"/>
          <w:sz w:val="22"/>
          <w:szCs w:val="22"/>
          <w:u w:val="single" w:color="auto"/>
          <w:color w:val="auto"/>
        </w:rPr>
        <w:t>Moral Rights</w:t>
      </w:r>
      <w:r>
        <w:rPr>
          <w:rFonts w:ascii="Times New Roman" w:cs="Times New Roman" w:eastAsia="Times New Roman" w:hAnsi="Times New Roman"/>
          <w:sz w:val="22"/>
          <w:szCs w:val="22"/>
          <w:color w:val="auto"/>
        </w:rPr>
        <w: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18" w:right="339" w:bottom="1440" w:gutter="0" w:footer="0" w:header="0"/>
        </w:sectPr>
      </w:pPr>
    </w:p>
    <w:bookmarkStart w:id="72" w:name="page73"/>
    <w:bookmarkEnd w:id="72"/>
    <w:p>
      <w:pPr>
        <w:jc w:val="both"/>
        <w:spacing w:after="0" w:line="256" w:lineRule="auto"/>
        <w:rPr>
          <w:sz w:val="20"/>
          <w:szCs w:val="20"/>
          <w:color w:val="auto"/>
        </w:rPr>
      </w:pPr>
      <w:r>
        <w:rPr>
          <w:rFonts w:ascii="Times New Roman" w:cs="Times New Roman" w:eastAsia="Times New Roman" w:hAnsi="Times New Roman"/>
          <w:sz w:val="22"/>
          <w:szCs w:val="22"/>
          <w:color w:val="auto"/>
        </w:rPr>
        <w:t>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spacing w:after="0" w:line="176" w:lineRule="exact"/>
        <w:rPr>
          <w:sz w:val="20"/>
          <w:szCs w:val="20"/>
          <w:color w:val="auto"/>
        </w:rPr>
      </w:pPr>
    </w:p>
    <w:p>
      <w:pPr>
        <w:jc w:val="both"/>
        <w:ind w:firstLine="1304"/>
        <w:spacing w:after="0" w:line="248" w:lineRule="auto"/>
        <w:tabs>
          <w:tab w:leader="none" w:pos="1806"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hereby represents and warrants that there are no inventions (whether or not patentable), original works of authorship, designs, know-how, mask works, ideas, information, developments, improvements, or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Times New Roman" w:cs="Times New Roman" w:eastAsia="Times New Roman" w:hAnsi="Times New Roman"/>
          <w:sz w:val="22"/>
          <w:szCs w:val="22"/>
          <w:u w:val="single" w:color="auto"/>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spacing w:after="0" w:line="184"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36"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spacing w:after="0" w:line="179"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31" w:val="left"/>
        </w:tabs>
        <w:numPr>
          <w:ilvl w:val="0"/>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that after reasonable and diligent effort to communicate with Employee, the Company (or, as applicable, a member of the Company Group) is unable to secure Employee’s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73" w:name="page74"/>
    <w:bookmarkEnd w:id="73"/>
    <w:p>
      <w:pPr>
        <w:jc w:val="both"/>
        <w:spacing w:after="0" w:line="251" w:lineRule="auto"/>
        <w:rPr>
          <w:sz w:val="20"/>
          <w:szCs w:val="20"/>
          <w:color w:val="auto"/>
        </w:rPr>
      </w:pPr>
      <w:r>
        <w:rPr>
          <w:rFonts w:ascii="Times New Roman" w:cs="Times New Roman" w:eastAsia="Times New Roman" w:hAnsi="Times New Roman"/>
          <w:sz w:val="22"/>
          <w:szCs w:val="22"/>
          <w:color w:val="auto"/>
        </w:rPr>
        <w:t>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Employee.</w:t>
      </w:r>
    </w:p>
    <w:p>
      <w:pPr>
        <w:spacing w:after="0" w:line="181" w:lineRule="exact"/>
        <w:rPr>
          <w:sz w:val="20"/>
          <w:szCs w:val="20"/>
          <w:color w:val="auto"/>
        </w:rPr>
      </w:pPr>
    </w:p>
    <w:p>
      <w:pPr>
        <w:jc w:val="both"/>
        <w:ind w:firstLine="1304"/>
        <w:spacing w:after="0" w:line="262" w:lineRule="auto"/>
        <w:tabs>
          <w:tab w:leader="none" w:pos="1818" w:val="left"/>
        </w:tabs>
        <w:numPr>
          <w:ilvl w:val="2"/>
          <w:numId w:val="1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In the event that after reasonable and diligent effort to coordinate with Employee, the Company (or the applicable member of the Company Group) is unable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w:t>
      </w:r>
    </w:p>
    <w:p>
      <w:pPr>
        <w:spacing w:after="0" w:line="167" w:lineRule="exact"/>
        <w:rPr>
          <w:rFonts w:ascii="Times New Roman" w:cs="Times New Roman" w:eastAsia="Times New Roman" w:hAnsi="Times New Roman"/>
          <w:sz w:val="21"/>
          <w:szCs w:val="21"/>
          <w:color w:val="010000"/>
        </w:rPr>
      </w:pPr>
    </w:p>
    <w:p>
      <w:pPr>
        <w:jc w:val="both"/>
        <w:ind w:firstLine="656"/>
        <w:spacing w:after="0" w:line="265" w:lineRule="auto"/>
        <w:tabs>
          <w:tab w:leader="none" w:pos="1134" w:val="left"/>
        </w:tabs>
        <w:numPr>
          <w:ilvl w:val="1"/>
          <w:numId w:val="1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Defense of Claims</w:t>
      </w:r>
      <w:r>
        <w:rPr>
          <w:rFonts w:ascii="Times New Roman" w:cs="Times New Roman" w:eastAsia="Times New Roman" w:hAnsi="Times New Roman"/>
          <w:sz w:val="21"/>
          <w:szCs w:val="21"/>
          <w:color w:val="auto"/>
        </w:rPr>
        <w:t>. During the Employment Period and for a period of one (1) year following the Termination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request from the Company, Employee shall reasonably cooperate with the Company Group, at times and locations agreeable to Employee, to assist (a) in the prosecution of any claims that may be made by the Company Group, to the extent that such claims may relate to Employee’s employment with the Company and about which Employee has substantial knowledge and</w:t>
      </w:r>
    </w:p>
    <w:p>
      <w:pPr>
        <w:jc w:val="both"/>
        <w:ind w:firstLine="8"/>
        <w:spacing w:after="0" w:line="246" w:lineRule="auto"/>
        <w:tabs>
          <w:tab w:leader="none" w:pos="322"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defense of any claims that may be made by or against any member of the Company Group that relate to Employee’s actual or prior areas of responsibility (collectively, (a) and (b) of this sentence, the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9(e)</w:t>
      </w:r>
      <w:r>
        <w:rPr>
          <w:rFonts w:ascii="Times New Roman" w:cs="Times New Roman" w:eastAsia="Times New Roman" w:hAnsi="Times New Roman"/>
          <w:sz w:val="22"/>
          <w:szCs w:val="22"/>
          <w:color w:val="auto"/>
        </w:rPr>
        <w:t xml:space="preserve">, Employee agrees to promptly inform the Company if Employee becomes aware of any lawsuits involving Claims that may be filed or threatened against the Company Group. Subject to </w:t>
      </w:r>
      <w:r>
        <w:rPr>
          <w:rFonts w:ascii="Times New Roman" w:cs="Times New Roman" w:eastAsia="Times New Roman" w:hAnsi="Times New Roman"/>
          <w:sz w:val="22"/>
          <w:szCs w:val="22"/>
          <w:u w:val="single" w:color="auto"/>
          <w:color w:val="auto"/>
        </w:rPr>
        <w:t>Section 9(e)</w:t>
      </w:r>
      <w:r>
        <w:rPr>
          <w:rFonts w:ascii="Times New Roman" w:cs="Times New Roman" w:eastAsia="Times New Roman" w:hAnsi="Times New Roman"/>
          <w:sz w:val="22"/>
          <w:szCs w:val="22"/>
          <w:color w:val="auto"/>
        </w:rPr>
        <w:t xml:space="preserve">, Employee also agrees to promptly inform the Company (to the extent that Employee is legally permitted to do so) if Employee is asked to assist in any investigation of the Company Group (or their actions) or another party attempts to obtain information or documents from Employee (other than in connection with any litigation or other proceeding in which Employee is a party-in-opposition) with respect to matters Employee believes in good faith to relate to any investigation of the Company Group, in each case, regardless of whether a lawsuit or other proceeding has then been filed against the Company Group with respect to such investigation, and shall not do so unless legally required. Subject to </w:t>
      </w:r>
      <w:r>
        <w:rPr>
          <w:rFonts w:ascii="Times New Roman" w:cs="Times New Roman" w:eastAsia="Times New Roman" w:hAnsi="Times New Roman"/>
          <w:sz w:val="22"/>
          <w:szCs w:val="22"/>
          <w:u w:val="single" w:color="auto"/>
          <w:color w:val="auto"/>
        </w:rPr>
        <w:t>Section 9(e)</w:t>
      </w:r>
      <w:r>
        <w:rPr>
          <w:rFonts w:ascii="Times New Roman" w:cs="Times New Roman" w:eastAsia="Times New Roman" w:hAnsi="Times New Roman"/>
          <w:sz w:val="22"/>
          <w:szCs w:val="22"/>
          <w:color w:val="auto"/>
        </w:rPr>
        <w:t>, during the pendency of any litigation or other proceeding involving Claims, Employee shall not communicate with anyone (other than Employee’s attorneys and tax and/or financial advisors and except to the extent that Employee determines in good faith is necessary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74" w:name="page75"/>
    <w:bookmarkEnd w:id="74"/>
    <w:p>
      <w:pPr>
        <w:jc w:val="both"/>
        <w:spacing w:after="0" w:line="257" w:lineRule="auto"/>
        <w:rPr>
          <w:sz w:val="20"/>
          <w:szCs w:val="20"/>
          <w:color w:val="auto"/>
        </w:rPr>
      </w:pPr>
      <w:r>
        <w:rPr>
          <w:rFonts w:ascii="Times New Roman" w:cs="Times New Roman" w:eastAsia="Times New Roman" w:hAnsi="Times New Roman"/>
          <w:sz w:val="22"/>
          <w:szCs w:val="22"/>
          <w:color w:val="auto"/>
        </w:rPr>
        <w:t>the performance of Employee’s duties hereunder) with respect to the facts or subject matter of any pending or potential litigation or regulatory or administrative proceeding involving the Company Group without giving prior written notice to the Company or the Company’s counsel.</w:t>
      </w:r>
    </w:p>
    <w:p>
      <w:pPr>
        <w:spacing w:after="0" w:line="182" w:lineRule="exact"/>
        <w:rPr>
          <w:sz w:val="20"/>
          <w:szCs w:val="20"/>
          <w:color w:val="auto"/>
        </w:rPr>
      </w:pPr>
    </w:p>
    <w:p>
      <w:pPr>
        <w:jc w:val="both"/>
        <w:ind w:firstLine="656"/>
        <w:spacing w:after="0" w:line="263" w:lineRule="auto"/>
        <w:tabs>
          <w:tab w:leader="none" w:pos="1161" w:val="left"/>
        </w:tabs>
        <w:numPr>
          <w:ilvl w:val="0"/>
          <w:numId w:val="1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Non-Disparagement</w:t>
      </w:r>
      <w:r>
        <w:rPr>
          <w:rFonts w:ascii="Times New Roman" w:cs="Times New Roman" w:eastAsia="Times New Roman" w:hAnsi="Times New Roman"/>
          <w:sz w:val="21"/>
          <w:szCs w:val="21"/>
          <w:color w:val="auto"/>
        </w:rPr>
        <w:t>. During the Employment Period and thereafter, except to the extent compelled or required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applicable law and subject to </w:t>
      </w:r>
      <w:r>
        <w:rPr>
          <w:rFonts w:ascii="Times New Roman" w:cs="Times New Roman" w:eastAsia="Times New Roman" w:hAnsi="Times New Roman"/>
          <w:sz w:val="21"/>
          <w:szCs w:val="21"/>
          <w:u w:val="single" w:color="auto"/>
          <w:color w:val="auto"/>
        </w:rPr>
        <w:t>Section 9(e)</w:t>
      </w:r>
      <w:r>
        <w:rPr>
          <w:rFonts w:ascii="Times New Roman" w:cs="Times New Roman" w:eastAsia="Times New Roman" w:hAnsi="Times New Roman"/>
          <w:sz w:val="21"/>
          <w:szCs w:val="21"/>
          <w:color w:val="auto"/>
        </w:rPr>
        <w:t xml:space="preserve">, Employee agrees Employee shall not disparage the Company Group or its respective officers, directors, employees, shareholders or successors or their respective products or services, in any manner (including but not limited to, verbally or via hard copy, websites, blogs, social media forums or any other medium);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nothing in this Section shall prevent Employee from: engaging in concerted activity relative to the terms and conditions of Employee’s employment and in communications protected under the National Labor Relations Act, filing a charge or providing information to any governmental agency;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nothing in this Section shall prevent Employee from providing information in response to a subpoena or other enforceable legal process or as otherwise required by law.</w:t>
      </w:r>
    </w:p>
    <w:p>
      <w:pPr>
        <w:spacing w:after="0" w:line="164" w:lineRule="exact"/>
        <w:rPr>
          <w:rFonts w:ascii="Times New Roman" w:cs="Times New Roman" w:eastAsia="Times New Roman" w:hAnsi="Times New Roman"/>
          <w:sz w:val="21"/>
          <w:szCs w:val="21"/>
          <w:color w:val="010000"/>
        </w:rPr>
      </w:pPr>
    </w:p>
    <w:p>
      <w:pPr>
        <w:jc w:val="both"/>
        <w:ind w:firstLine="656"/>
        <w:spacing w:after="0" w:line="252" w:lineRule="auto"/>
        <w:tabs>
          <w:tab w:leader="none" w:pos="1188"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Reasonableness of Covenants</w:t>
      </w:r>
      <w:r>
        <w:rPr>
          <w:rFonts w:ascii="Times New Roman" w:cs="Times New Roman" w:eastAsia="Times New Roman" w:hAnsi="Times New Roman"/>
          <w:sz w:val="22"/>
          <w:szCs w:val="22"/>
          <w:color w:val="auto"/>
        </w:rPr>
        <w:t>. In signing this Agreement, Employee has carefully read and considered all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terms and conditions of this Agreement, including the restraints imposed under these </w:t>
      </w:r>
      <w:r>
        <w:rPr>
          <w:rFonts w:ascii="Times New Roman" w:cs="Times New Roman" w:eastAsia="Times New Roman" w:hAnsi="Times New Roman"/>
          <w:sz w:val="22"/>
          <w:szCs w:val="22"/>
          <w:u w:val="single" w:color="auto"/>
          <w:color w:val="auto"/>
        </w:rPr>
        <w:t>Sections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Employee agrees that these restraints are necessary for the reasonable and proper protection of the Company Group and their trade secrets and Confidential Information and that such restraints are reasonable in respect to subject matter, length of time and geographic area. Employee acknowledges that each of these covenants has a unique, very substantial and immeasurable value to the Company Group.</w:t>
      </w:r>
    </w:p>
    <w:p>
      <w:pPr>
        <w:spacing w:after="0" w:line="174" w:lineRule="exact"/>
        <w:rPr>
          <w:rFonts w:ascii="Times New Roman" w:cs="Times New Roman" w:eastAsia="Times New Roman" w:hAnsi="Times New Roman"/>
          <w:sz w:val="22"/>
          <w:szCs w:val="22"/>
          <w:color w:val="010000"/>
        </w:rPr>
      </w:pPr>
    </w:p>
    <w:p>
      <w:pPr>
        <w:jc w:val="both"/>
        <w:ind w:firstLine="656"/>
        <w:spacing w:after="0" w:line="258" w:lineRule="auto"/>
        <w:tabs>
          <w:tab w:leader="none" w:pos="1201"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Tolling</w:t>
      </w:r>
      <w:r>
        <w:rPr>
          <w:rFonts w:ascii="Times New Roman" w:cs="Times New Roman" w:eastAsia="Times New Roman" w:hAnsi="Times New Roman"/>
          <w:sz w:val="22"/>
          <w:szCs w:val="22"/>
          <w:color w:val="auto"/>
        </w:rPr>
        <w:t>. In the event of any violation of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Employee acknowledges and agrees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that the post-termination restrictions contained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shall be extended by a period of time equal to the period of such violation, as determined by a court of law, it being the intention of the parties hereto that the running of the applicable post-termination restriction period shall be tolled during any period of such violation.</w:t>
      </w:r>
    </w:p>
    <w:p>
      <w:pPr>
        <w:spacing w:after="0" w:line="167" w:lineRule="exact"/>
        <w:rPr>
          <w:rFonts w:ascii="Times New Roman" w:cs="Times New Roman" w:eastAsia="Times New Roman" w:hAnsi="Times New Roman"/>
          <w:sz w:val="22"/>
          <w:szCs w:val="22"/>
          <w:color w:val="010000"/>
        </w:rPr>
      </w:pPr>
    </w:p>
    <w:p>
      <w:pPr>
        <w:jc w:val="both"/>
        <w:ind w:right="20" w:firstLine="656"/>
        <w:spacing w:after="0" w:line="259" w:lineRule="auto"/>
        <w:tabs>
          <w:tab w:leader="none" w:pos="1134"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Withholdings; Deductions</w:t>
      </w:r>
      <w:r>
        <w:rPr>
          <w:rFonts w:ascii="Times New Roman" w:cs="Times New Roman" w:eastAsia="Times New Roman" w:hAnsi="Times New Roman"/>
          <w:sz w:val="22"/>
          <w:szCs w:val="22"/>
          <w:color w:val="auto"/>
        </w:rPr>
        <w:t>. The Company may withhold and deduct from any benefits and payments made or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pursuant to this Agreement (a) all federal, state, local and other taxes as may be required pursuant to any law or governmental regulation or ruling and (b) any deductions consented to in writing by Employee.</w:t>
      </w:r>
    </w:p>
    <w:p>
      <w:pPr>
        <w:spacing w:after="0" w:line="179" w:lineRule="exact"/>
        <w:rPr>
          <w:rFonts w:ascii="Times New Roman" w:cs="Times New Roman" w:eastAsia="Times New Roman" w:hAnsi="Times New Roman"/>
          <w:sz w:val="22"/>
          <w:szCs w:val="22"/>
          <w:color w:val="010000"/>
        </w:rPr>
      </w:pPr>
    </w:p>
    <w:p>
      <w:pPr>
        <w:jc w:val="both"/>
        <w:ind w:firstLine="656"/>
        <w:spacing w:after="0" w:line="248" w:lineRule="auto"/>
        <w:tabs>
          <w:tab w:leader="none" w:pos="1134"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Title and Headings; Construction</w:t>
      </w:r>
      <w:r>
        <w:rPr>
          <w:rFonts w:ascii="Times New Roman" w:cs="Times New Roman" w:eastAsia="Times New Roman" w:hAnsi="Times New Roman"/>
          <w:sz w:val="22"/>
          <w:szCs w:val="22"/>
          <w:color w:val="auto"/>
        </w:rPr>
        <w:t>. Titles and headings to Sections hereof are for the purpose of reference only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75" w:name="page76"/>
    <w:bookmarkEnd w:id="75"/>
    <w:p>
      <w:pPr>
        <w:jc w:val="both"/>
        <w:spacing w:after="0" w:line="251" w:lineRule="auto"/>
        <w:rPr>
          <w:sz w:val="20"/>
          <w:szCs w:val="20"/>
          <w:color w:val="auto"/>
        </w:rPr>
      </w:pPr>
      <w:r>
        <w:rPr>
          <w:rFonts w:ascii="Times New Roman" w:cs="Times New Roman" w:eastAsia="Times New Roman" w:hAnsi="Times New Roman"/>
          <w:sz w:val="22"/>
          <w:szCs w:val="22"/>
          <w:color w:val="auto"/>
        </w:rPr>
        <w:t>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77" w:lineRule="exact"/>
        <w:rPr>
          <w:sz w:val="20"/>
          <w:szCs w:val="20"/>
          <w:color w:val="auto"/>
        </w:rPr>
      </w:pPr>
    </w:p>
    <w:p>
      <w:pPr>
        <w:jc w:val="both"/>
        <w:ind w:firstLine="656"/>
        <w:spacing w:after="0" w:line="258" w:lineRule="auto"/>
        <w:tabs>
          <w:tab w:leader="none" w:pos="1228" w:val="left"/>
        </w:tabs>
        <w:numPr>
          <w:ilvl w:val="0"/>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color w:val="auto"/>
        </w:rPr>
        <w:t>. This Agreement shall in all respects be construed according to the laws of the State of Texas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Houston, Texas.</w:t>
      </w:r>
    </w:p>
    <w:p>
      <w:pPr>
        <w:spacing w:after="0" w:line="167" w:lineRule="exact"/>
        <w:rPr>
          <w:rFonts w:ascii="Times New Roman" w:cs="Times New Roman" w:eastAsia="Times New Roman" w:hAnsi="Times New Roman"/>
          <w:sz w:val="22"/>
          <w:szCs w:val="22"/>
          <w:color w:val="010000"/>
        </w:rPr>
      </w:pPr>
    </w:p>
    <w:p>
      <w:pPr>
        <w:jc w:val="both"/>
        <w:ind w:firstLine="656"/>
        <w:spacing w:after="0" w:line="249" w:lineRule="auto"/>
        <w:tabs>
          <w:tab w:leader="none" w:pos="1174" w:val="left"/>
        </w:tabs>
        <w:numPr>
          <w:ilvl w:val="0"/>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Entire Agreement and Amendment</w:t>
      </w:r>
      <w:r>
        <w:rPr>
          <w:rFonts w:ascii="Times New Roman" w:cs="Times New Roman" w:eastAsia="Times New Roman" w:hAnsi="Times New Roman"/>
          <w:sz w:val="22"/>
          <w:szCs w:val="22"/>
          <w:color w:val="auto"/>
        </w:rPr>
        <w:t>. This Agreement contains the entire agreement of the parties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matters covered herein and, as of the Effective Date, supersedes all prior and contemporaneous agreements and understandings, oral or written, between the parties hereto concerning the subject matter hereof (including, without limitation, the Prior Agreement), other than (x) that certain Indemnification Agreement, dated July 1, 2024, between the Company and the Employee or any other indemnification rights of the Employee that are in effect or outstanding as of the Effective Date, (y) equity award agreements that are in effect or outstanding as of the Effective Date (other than as such equity award agreements may be modified hereby), or (z) the terms of Employee’s Annual Bonus for the calendar year 2025. This Agreement may be amended only by a written instrument executed by both parties hereto.</w:t>
      </w:r>
    </w:p>
    <w:p>
      <w:pPr>
        <w:spacing w:after="0" w:line="181" w:lineRule="exact"/>
        <w:rPr>
          <w:rFonts w:ascii="Times New Roman" w:cs="Times New Roman" w:eastAsia="Times New Roman" w:hAnsi="Times New Roman"/>
          <w:sz w:val="22"/>
          <w:szCs w:val="22"/>
          <w:color w:val="010000"/>
        </w:rPr>
      </w:pPr>
    </w:p>
    <w:p>
      <w:pPr>
        <w:jc w:val="both"/>
        <w:ind w:firstLine="656"/>
        <w:spacing w:after="0" w:line="252" w:lineRule="auto"/>
        <w:tabs>
          <w:tab w:leader="none" w:pos="1161" w:val="left"/>
        </w:tabs>
        <w:numPr>
          <w:ilvl w:val="0"/>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Enforcement</w:t>
      </w:r>
      <w:r>
        <w:rPr>
          <w:rFonts w:ascii="Times New Roman" w:cs="Times New Roman" w:eastAsia="Times New Roman" w:hAnsi="Times New Roman"/>
          <w:sz w:val="22"/>
          <w:szCs w:val="22"/>
          <w:color w:val="auto"/>
        </w:rPr>
        <w:t>. The parties hereto acknowledge that an award of damages for failure to comply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of this Agreement may not be an adequate remedy for the Company attempting to enforce or prevent the breach of such provisions, and accordingly the parties hereto authorize the Company to (in addition to any other remedies or relief to which it may be entitled) bring an action against Employee for a permanent or temporary injunction, to compel the specific performance or any other equitable remedy by Employee of their obligations to comply with, or prevent the breach of or remedy the breach of, such provisions without proof of actual damages.</w:t>
      </w:r>
    </w:p>
    <w:p>
      <w:pPr>
        <w:spacing w:after="0" w:line="188" w:lineRule="exact"/>
        <w:rPr>
          <w:rFonts w:ascii="Times New Roman" w:cs="Times New Roman" w:eastAsia="Times New Roman" w:hAnsi="Times New Roman"/>
          <w:sz w:val="22"/>
          <w:szCs w:val="22"/>
          <w:color w:val="010000"/>
        </w:rPr>
      </w:pPr>
    </w:p>
    <w:p>
      <w:pPr>
        <w:jc w:val="both"/>
        <w:ind w:firstLine="656"/>
        <w:spacing w:after="0" w:line="249" w:lineRule="auto"/>
        <w:tabs>
          <w:tab w:leader="none" w:pos="1174" w:val="left"/>
        </w:tabs>
        <w:numPr>
          <w:ilvl w:val="0"/>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Waiver of Breach</w:t>
      </w:r>
      <w:r>
        <w:rPr>
          <w:rFonts w:ascii="Times New Roman" w:cs="Times New Roman" w:eastAsia="Times New Roman" w:hAnsi="Times New Roman"/>
          <w:sz w:val="22"/>
          <w:szCs w:val="22"/>
          <w:color w:val="auto"/>
        </w:rPr>
        <w:t>. Any waiver of this Agreement must be executed by the party to be bound by such waiver.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spacing w:after="0" w:line="193"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215" w:val="left"/>
        </w:tabs>
        <w:numPr>
          <w:ilvl w:val="0"/>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This Agreement is personal to Employee, and neither this Agreement nor any rights or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shall be assignable or otherwise transferred by Employee. The Company may assign this Agreement without Employee’s consent,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76" w:name="page77"/>
    <w:bookmarkEnd w:id="76"/>
    <w:p>
      <w:pPr>
        <w:spacing w:after="0" w:line="271" w:lineRule="auto"/>
        <w:rPr>
          <w:sz w:val="20"/>
          <w:szCs w:val="20"/>
          <w:color w:val="auto"/>
        </w:rPr>
      </w:pPr>
      <w:r>
        <w:rPr>
          <w:rFonts w:ascii="Times New Roman" w:cs="Times New Roman" w:eastAsia="Times New Roman" w:hAnsi="Times New Roman"/>
          <w:sz w:val="22"/>
          <w:szCs w:val="22"/>
          <w:color w:val="auto"/>
        </w:rPr>
        <w:t>to any member of the Company Group and to any successor (whether by merger, purchase or otherwise) to all or substantially all of the equity, assets or businesses of the Company.</w:t>
      </w:r>
    </w:p>
    <w:p>
      <w:pPr>
        <w:spacing w:after="0" w:line="154" w:lineRule="exact"/>
        <w:rPr>
          <w:sz w:val="20"/>
          <w:szCs w:val="20"/>
          <w:color w:val="auto"/>
        </w:rPr>
      </w:pPr>
    </w:p>
    <w:p>
      <w:pPr>
        <w:ind w:left="1160" w:hanging="504"/>
        <w:spacing w:after="0"/>
        <w:tabs>
          <w:tab w:leader="none" w:pos="1160" w:val="left"/>
        </w:tabs>
        <w:numPr>
          <w:ilvl w:val="1"/>
          <w:numId w:val="12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Notices provided for in this Agreement shall be in writing and shall be deemed to have been duly received</w:t>
      </w:r>
    </w:p>
    <w:p>
      <w:pPr>
        <w:spacing w:after="0" w:line="44" w:lineRule="exact"/>
        <w:rPr>
          <w:rFonts w:ascii="Times New Roman" w:cs="Times New Roman" w:eastAsia="Times New Roman" w:hAnsi="Times New Roman"/>
          <w:sz w:val="21"/>
          <w:szCs w:val="21"/>
          <w:color w:val="010000"/>
        </w:rPr>
      </w:pPr>
    </w:p>
    <w:p>
      <w:pPr>
        <w:jc w:val="both"/>
        <w:ind w:firstLine="8"/>
        <w:spacing w:after="0" w:line="251" w:lineRule="auto"/>
        <w:tabs>
          <w:tab w:leader="none" w:pos="295"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If to the Company, addressed to:</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Talen Energy Corporation</w:t>
      </w:r>
    </w:p>
    <w:p>
      <w:pPr>
        <w:ind w:left="1300"/>
        <w:spacing w:after="0" w:line="221" w:lineRule="auto"/>
        <w:rPr>
          <w:sz w:val="20"/>
          <w:szCs w:val="20"/>
          <w:color w:val="auto"/>
        </w:rPr>
      </w:pPr>
      <w:r>
        <w:rPr>
          <w:rFonts w:ascii="Times New Roman" w:cs="Times New Roman" w:eastAsia="Times New Roman" w:hAnsi="Times New Roman"/>
          <w:sz w:val="22"/>
          <w:szCs w:val="22"/>
          <w:color w:val="auto"/>
        </w:rPr>
        <w:t>2929 Allen Parkway,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Texas 77019</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Board of Directors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If to Employee, addressed to:</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Cole Muller</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[Address redacted]</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 if different, the latest address on file with the Company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53" w:lineRule="auto"/>
        <w:tabs>
          <w:tab w:leader="none" w:pos="1215" w:val="left"/>
        </w:tabs>
        <w:numPr>
          <w:ilvl w:val="1"/>
          <w:numId w:val="1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including by electronic mail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88" w:lineRule="exact"/>
        <w:rPr>
          <w:rFonts w:ascii="Times New Roman" w:cs="Times New Roman" w:eastAsia="Times New Roman" w:hAnsi="Times New Roman"/>
          <w:sz w:val="22"/>
          <w:szCs w:val="22"/>
          <w:color w:val="010000"/>
        </w:rPr>
      </w:pPr>
    </w:p>
    <w:p>
      <w:pPr>
        <w:jc w:val="both"/>
        <w:ind w:firstLine="656"/>
        <w:spacing w:after="0" w:line="249" w:lineRule="auto"/>
        <w:tabs>
          <w:tab w:leader="none" w:pos="1269" w:val="left"/>
        </w:tabs>
        <w:numPr>
          <w:ilvl w:val="1"/>
          <w:numId w:val="1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Deemed Resignations</w:t>
      </w:r>
      <w:r>
        <w:rPr>
          <w:rFonts w:ascii="Times New Roman" w:cs="Times New Roman" w:eastAsia="Times New Roman" w:hAnsi="Times New Roman"/>
          <w:sz w:val="22"/>
          <w:szCs w:val="22"/>
          <w:color w:val="auto"/>
        </w:rPr>
        <w:t>. Except as otherwise determined by the Board or as otherwise agreed to in writing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w:t>
      </w:r>
    </w:p>
    <w:p>
      <w:pPr>
        <w:spacing w:after="0" w:line="4" w:lineRule="exact"/>
        <w:rPr>
          <w:rFonts w:ascii="Times New Roman" w:cs="Times New Roman" w:eastAsia="Times New Roman" w:hAnsi="Times New Roman"/>
          <w:sz w:val="22"/>
          <w:szCs w:val="22"/>
          <w:color w:val="010000"/>
        </w:rPr>
      </w:pPr>
    </w:p>
    <w:p>
      <w:pPr>
        <w:jc w:val="both"/>
        <w:ind w:firstLine="8"/>
        <w:spacing w:after="0" w:line="247" w:lineRule="auto"/>
        <w:tabs>
          <w:tab w:leader="none" w:pos="29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w:t>
      </w:r>
    </w:p>
    <w:p>
      <w:pPr>
        <w:spacing w:after="0" w:line="18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1900" w:val="left"/>
        </w:tabs>
        <w:numPr>
          <w:ilvl w:val="2"/>
          <w:numId w:val="1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provision of this Agreement to the contrary, all provisions of this Agreement are intended to comply with Section 409A of the Code and the applicable Treasury regulations and administrative guidance issued thereunder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77" w:name="page78"/>
    <w:bookmarkEnd w:id="77"/>
    <w:p>
      <w:pPr>
        <w:jc w:val="both"/>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w:t>
      </w:r>
    </w:p>
    <w:p>
      <w:pPr>
        <w:spacing w:after="0" w:line="181" w:lineRule="exact"/>
        <w:rPr>
          <w:sz w:val="20"/>
          <w:szCs w:val="20"/>
          <w:color w:val="auto"/>
        </w:rPr>
      </w:pPr>
    </w:p>
    <w:p>
      <w:pPr>
        <w:jc w:val="both"/>
        <w:ind w:firstLine="1304"/>
        <w:spacing w:after="0" w:line="250" w:lineRule="auto"/>
        <w:tabs>
          <w:tab w:leader="none" w:pos="1872" w:val="left"/>
        </w:tabs>
        <w:numPr>
          <w:ilvl w:val="1"/>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foregoing clause shall not be violated with regard to expenses reimbursed under any arrangement covered by Section 105(b) of the Code solely because such expenses are subject to a limit related to the period in which the arrangement is in effect.</w:t>
      </w:r>
    </w:p>
    <w:p>
      <w:pPr>
        <w:spacing w:after="0" w:line="179"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846" w:val="left"/>
        </w:tabs>
        <w:numPr>
          <w:ilvl w:val="1"/>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provision in this Agreement to the contrary, if any payment or benefit provided for herein would be subject to additional taxes and interest under Section 409A if Employee’s receipt of such payment or benefit is not delayed until the earlier of the date of Employee’s death or the date that is six (6) months after the Termination Date (such date, the “</w:t>
      </w:r>
      <w:r>
        <w:rPr>
          <w:rFonts w:ascii="Times New Roman" w:cs="Times New Roman" w:eastAsia="Times New Roman" w:hAnsi="Times New Roman"/>
          <w:sz w:val="22"/>
          <w:szCs w:val="22"/>
          <w:u w:val="single" w:color="auto"/>
          <w:color w:val="auto"/>
        </w:rPr>
        <w:t>Section 409A Payment Date</w:t>
      </w:r>
      <w:r>
        <w:rPr>
          <w:rFonts w:ascii="Times New Roman" w:cs="Times New Roman" w:eastAsia="Times New Roman" w:hAnsi="Times New Roman"/>
          <w:sz w:val="22"/>
          <w:szCs w:val="22"/>
          <w:color w:val="auto"/>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spacing w:after="0" w:line="177" w:lineRule="exact"/>
        <w:rPr>
          <w:rFonts w:ascii="Times New Roman" w:cs="Times New Roman" w:eastAsia="Times New Roman" w:hAnsi="Times New Roman"/>
          <w:sz w:val="22"/>
          <w:szCs w:val="22"/>
          <w:color w:val="010000"/>
        </w:rPr>
      </w:pPr>
    </w:p>
    <w:p>
      <w:pPr>
        <w:jc w:val="both"/>
        <w:ind w:firstLine="656"/>
        <w:spacing w:after="0" w:line="265" w:lineRule="auto"/>
        <w:tabs>
          <w:tab w:leader="none" w:pos="1228" w:val="left"/>
        </w:tabs>
        <w:numPr>
          <w:ilvl w:val="0"/>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Effect of Termination</w:t>
      </w:r>
      <w:r>
        <w:rPr>
          <w:rFonts w:ascii="Times New Roman" w:cs="Times New Roman" w:eastAsia="Times New Roman" w:hAnsi="Times New Roman"/>
          <w:sz w:val="22"/>
          <w:szCs w:val="22"/>
          <w:color w:val="auto"/>
        </w:rPr>
        <w:t>.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7(a)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8-15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20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those provisions necessary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 and enforce them, shall survive any termination of this Agreement and any termination of the employment relationship between Employee and the Company.</w:t>
      </w:r>
    </w:p>
    <w:p>
      <w:pPr>
        <w:spacing w:after="0" w:line="161"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147" w:val="left"/>
        </w:tabs>
        <w:numPr>
          <w:ilvl w:val="0"/>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Each member of the Company Group that is not a signatory to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third-party beneficiary of Employee’s obligations under </w:t>
      </w:r>
      <w:r>
        <w:rPr>
          <w:rFonts w:ascii="Times New Roman" w:cs="Times New Roman" w:eastAsia="Times New Roman" w:hAnsi="Times New Roman"/>
          <w:sz w:val="22"/>
          <w:szCs w:val="22"/>
          <w:u w:val="single" w:color="auto"/>
          <w:color w:val="auto"/>
        </w:rPr>
        <w:t>Sections 7-15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and shall be entitled to enforce such obligations as if a party hereto.</w:t>
      </w:r>
    </w:p>
    <w:p>
      <w:pPr>
        <w:spacing w:after="0" w:line="166" w:lineRule="exact"/>
        <w:rPr>
          <w:rFonts w:ascii="Times New Roman" w:cs="Times New Roman" w:eastAsia="Times New Roman" w:hAnsi="Times New Roman"/>
          <w:sz w:val="22"/>
          <w:szCs w:val="22"/>
          <w:color w:val="010000"/>
        </w:rPr>
      </w:pPr>
    </w:p>
    <w:p>
      <w:pPr>
        <w:jc w:val="both"/>
        <w:ind w:firstLine="656"/>
        <w:spacing w:after="0" w:line="265" w:lineRule="auto"/>
        <w:tabs>
          <w:tab w:leader="none" w:pos="1174" w:val="left"/>
        </w:tabs>
        <w:numPr>
          <w:ilvl w:val="0"/>
          <w:numId w:val="1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Certain Excise Taxes</w:t>
      </w:r>
      <w:r>
        <w:rPr>
          <w:rFonts w:ascii="Times New Roman" w:cs="Times New Roman" w:eastAsia="Times New Roman" w:hAnsi="Times New Roman"/>
          <w:sz w:val="22"/>
          <w:szCs w:val="22"/>
          <w:color w:val="auto"/>
        </w:rPr>
        <w:t>. Notwithstanding anything to the contrary in this Agreement, if Employee is a “disqualified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(as defined in Section 280G(c) of the Code), and the benefits provided for in this Agreement, together with any other payments and benefits which Employee has the right to receive from the Company and its affiliates,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78" w:name="page79"/>
    <w:bookmarkEnd w:id="78"/>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constitute a “parachute payment” (as defined in Section 280G(b)(2) of the Code), then the 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shall require the Company to be responsible for, or have any liability or obligation with respect to, Employee’s excise tax liabilities under Section 4999 of the Code.</w:t>
      </w:r>
    </w:p>
    <w:p>
      <w:pPr>
        <w:spacing w:after="0" w:line="199" w:lineRule="exact"/>
        <w:rPr>
          <w:sz w:val="20"/>
          <w:szCs w:val="20"/>
          <w:color w:val="auto"/>
        </w:rPr>
      </w:pPr>
    </w:p>
    <w:p>
      <w:pPr>
        <w:jc w:val="both"/>
        <w:ind w:firstLine="656"/>
        <w:spacing w:after="0" w:line="253" w:lineRule="auto"/>
        <w:tabs>
          <w:tab w:leader="none" w:pos="1147" w:val="left"/>
        </w:tabs>
        <w:numPr>
          <w:ilvl w:val="0"/>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 arbitrator or court of competent jurisdiction determines that any provision of this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Blank;</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79" w:name="page80"/>
    <w:bookmarkEnd w:id="79"/>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Employee and the Company each have caused this Agreement to be executed and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Effective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Cole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9677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Cole Muller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6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TALEN ENERGY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Andrew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11601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 Andrew Wright</w:t>
      </w:r>
    </w:p>
    <w:p>
      <w:pPr>
        <w:spacing w:after="0" w:line="1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Title: 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TO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EMPLOYMENT AGREEMENT</w:t>
      </w:r>
    </w:p>
    <w:p>
      <w:pPr>
        <w:sectPr>
          <w:pgSz w:w="11900" w:h="16838" w:orient="portrait"/>
          <w:cols w:equalWidth="0" w:num="1">
            <w:col w:w="11240"/>
          </w:cols>
          <w:pgMar w:left="320" w:top="1418" w:right="339" w:bottom="1440" w:gutter="0" w:footer="0" w:header="0"/>
        </w:sectPr>
      </w:pPr>
    </w:p>
    <w:bookmarkStart w:id="80" w:name="page81"/>
    <w:bookmarkEnd w:id="80"/>
    <w:tbl>
      <w:tblPr>
        <w:tblLayout w:type="fixed"/>
        <w:tblInd w:w="10" w:type="dxa"/>
        <w:tblCellMar>
          <w:top w:w="0" w:type="dxa"/>
          <w:left w:w="0" w:type="dxa"/>
          <w:bottom w:w="0" w:type="dxa"/>
          <w:right w:w="0" w:type="dxa"/>
        </w:tblCellMar>
      </w:tblPr>
      <w:tr>
        <w:trPr>
          <w:trHeight w:val="253"/>
        </w:trPr>
        <w:tc>
          <w:tcPr>
            <w:tcW w:w="3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A</w:t>
            </w:r>
          </w:p>
        </w:tc>
        <w:tc>
          <w:tcPr>
            <w:tcW w:w="4620" w:type="dxa"/>
            <w:vAlign w:val="bottom"/>
            <w:gridSpan w:val="6"/>
          </w:tcPr>
          <w:p>
            <w:pPr>
              <w:spacing w:after="0"/>
              <w:rPr>
                <w:sz w:val="22"/>
                <w:szCs w:val="22"/>
                <w:color w:val="auto"/>
              </w:rPr>
            </w:pPr>
          </w:p>
        </w:tc>
      </w:tr>
      <w:tr>
        <w:trPr>
          <w:trHeight w:val="493"/>
        </w:trPr>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LTIP TERM SHEET: 2026 AWARDS</w:t>
            </w:r>
          </w:p>
        </w:tc>
        <w:tc>
          <w:tcPr>
            <w:tcW w:w="3460" w:type="dxa"/>
            <w:vAlign w:val="bottom"/>
            <w:gridSpan w:val="4"/>
          </w:tcPr>
          <w:p>
            <w:pPr>
              <w:spacing w:after="0"/>
              <w:rPr>
                <w:sz w:val="24"/>
                <w:szCs w:val="24"/>
                <w:color w:val="auto"/>
              </w:rPr>
            </w:pPr>
          </w:p>
        </w:tc>
      </w:tr>
      <w:tr>
        <w:trPr>
          <w:trHeight w:val="277"/>
        </w:trPr>
        <w:tc>
          <w:tcPr>
            <w:tcW w:w="3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spacing w:after="0"/>
              <w:rPr>
                <w:sz w:val="24"/>
                <w:szCs w:val="24"/>
                <w:color w:val="auto"/>
              </w:rPr>
            </w:pPr>
          </w:p>
        </w:tc>
        <w:tc>
          <w:tcPr>
            <w:tcW w:w="1140" w:type="dxa"/>
            <w:vAlign w:val="bottom"/>
            <w:tcBorders>
              <w:bottom w:val="single" w:sz="8" w:color="auto"/>
            </w:tcBorders>
            <w:gridSpan w:val="2"/>
          </w:tcPr>
          <w:p>
            <w:pPr>
              <w:spacing w:after="0"/>
              <w:rPr>
                <w:sz w:val="24"/>
                <w:szCs w:val="24"/>
                <w:color w:val="auto"/>
              </w:rPr>
            </w:pPr>
          </w:p>
        </w:tc>
        <w:tc>
          <w:tcPr>
            <w:tcW w:w="28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59"/>
        </w:trPr>
        <w:tc>
          <w:tcPr>
            <w:tcW w:w="3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Target Award Amount</w:t>
            </w: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Awards consisting of (i) ordinary-course grants with a grant date fair value</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7540" w:type="dxa"/>
            <w:vAlign w:val="bottom"/>
            <w:tcBorders>
              <w:right w:val="single" w:sz="8" w:color="auto"/>
            </w:tcBorders>
            <w:gridSpan w:val="11"/>
          </w:tcPr>
          <w:p>
            <w:pPr>
              <w:ind w:left="500"/>
              <w:spacing w:after="0" w:line="233" w:lineRule="exact"/>
              <w:rPr>
                <w:sz w:val="20"/>
                <w:szCs w:val="20"/>
                <w:color w:val="auto"/>
              </w:rPr>
            </w:pPr>
            <w:r>
              <w:rPr>
                <w:rFonts w:ascii="Times New Roman" w:cs="Times New Roman" w:eastAsia="Times New Roman" w:hAnsi="Times New Roman"/>
                <w:sz w:val="22"/>
                <w:szCs w:val="22"/>
                <w:color w:val="auto"/>
              </w:rPr>
              <w:t xml:space="preserve">equal to 100% of Employee’s LTIP target (the “Standard Awards”)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a</w:t>
            </w:r>
          </w:p>
        </w:tc>
      </w:tr>
      <w:tr>
        <w:trPr>
          <w:trHeight w:val="20"/>
        </w:trPr>
        <w:tc>
          <w:tcPr>
            <w:tcW w:w="3160" w:type="dxa"/>
            <w:vAlign w:val="bottom"/>
            <w:tcBorders>
              <w:left w:val="single" w:sz="8" w:color="auto"/>
              <w:right w:val="single" w:sz="8" w:color="auto"/>
            </w:tcBorders>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r>
      <w:tr>
        <w:trPr>
          <w:trHeight w:val="263"/>
        </w:trPr>
        <w:tc>
          <w:tcPr>
            <w:tcW w:w="316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one-time grant of awards with a grant date fair value equal to 67% of</w:t>
            </w:r>
          </w:p>
        </w:tc>
      </w:tr>
      <w:tr>
        <w:trPr>
          <w:trHeight w:val="230"/>
        </w:trPr>
        <w:tc>
          <w:tcPr>
            <w:tcW w:w="3160" w:type="dxa"/>
            <w:vAlign w:val="bottom"/>
            <w:tcBorders>
              <w:left w:val="single" w:sz="8" w:color="auto"/>
              <w:right w:val="single" w:sz="8" w:color="auto"/>
            </w:tcBorders>
          </w:tcPr>
          <w:p>
            <w:pPr>
              <w:spacing w:after="0"/>
              <w:rPr>
                <w:sz w:val="19"/>
                <w:szCs w:val="19"/>
                <w:color w:val="auto"/>
              </w:rPr>
            </w:pPr>
          </w:p>
        </w:tc>
        <w:tc>
          <w:tcPr>
            <w:tcW w:w="7540" w:type="dxa"/>
            <w:vAlign w:val="bottom"/>
            <w:tcBorders>
              <w:right w:val="single" w:sz="8" w:color="auto"/>
            </w:tcBorders>
            <w:gridSpan w:val="11"/>
          </w:tcPr>
          <w:p>
            <w:pPr>
              <w:ind w:left="500"/>
              <w:spacing w:after="0" w:line="230" w:lineRule="exact"/>
              <w:rPr>
                <w:sz w:val="20"/>
                <w:szCs w:val="20"/>
                <w:color w:val="auto"/>
              </w:rPr>
            </w:pPr>
            <w:r>
              <w:rPr>
                <w:rFonts w:ascii="Times New Roman" w:cs="Times New Roman" w:eastAsia="Times New Roman" w:hAnsi="Times New Roman"/>
                <w:sz w:val="22"/>
                <w:szCs w:val="22"/>
                <w:color w:val="auto"/>
                <w:w w:val="98"/>
              </w:rPr>
              <w:t>Employee’s LTIP target (the “True-Up Awards” and, together with the Standard</w:t>
            </w:r>
          </w:p>
        </w:tc>
      </w:tr>
      <w:tr>
        <w:trPr>
          <w:trHeight w:val="237"/>
        </w:trPr>
        <w:tc>
          <w:tcPr>
            <w:tcW w:w="3160" w:type="dxa"/>
            <w:vAlign w:val="bottom"/>
            <w:tcBorders>
              <w:left w:val="single" w:sz="8" w:color="auto"/>
              <w:right w:val="single" w:sz="8" w:color="auto"/>
            </w:tcBorders>
          </w:tcPr>
          <w:p>
            <w:pPr>
              <w:spacing w:after="0"/>
              <w:rPr>
                <w:sz w:val="20"/>
                <w:szCs w:val="20"/>
                <w:color w:val="auto"/>
              </w:rPr>
            </w:pPr>
          </w:p>
        </w:tc>
        <w:tc>
          <w:tcPr>
            <w:tcW w:w="3100" w:type="dxa"/>
            <w:vAlign w:val="bottom"/>
            <w:gridSpan w:val="6"/>
          </w:tcPr>
          <w:p>
            <w:pPr>
              <w:ind w:left="500"/>
              <w:spacing w:after="0" w:line="237" w:lineRule="exact"/>
              <w:rPr>
                <w:sz w:val="20"/>
                <w:szCs w:val="20"/>
                <w:color w:val="auto"/>
              </w:rPr>
            </w:pPr>
            <w:r>
              <w:rPr>
                <w:rFonts w:ascii="Times New Roman" w:cs="Times New Roman" w:eastAsia="Times New Roman" w:hAnsi="Times New Roman"/>
                <w:sz w:val="22"/>
                <w:szCs w:val="22"/>
                <w:color w:val="auto"/>
                <w:w w:val="98"/>
              </w:rPr>
              <w:t>Awards, the “2026 Awards”).</w:t>
            </w:r>
          </w:p>
        </w:tc>
        <w:tc>
          <w:tcPr>
            <w:tcW w:w="1440" w:type="dxa"/>
            <w:vAlign w:val="bottom"/>
            <w:tcBorders>
              <w:top w:val="single" w:sz="8" w:color="auto"/>
            </w:tcBorders>
            <w:gridSpan w:val="2"/>
          </w:tcPr>
          <w:p>
            <w:pPr>
              <w:spacing w:after="0"/>
              <w:rPr>
                <w:sz w:val="20"/>
                <w:szCs w:val="20"/>
                <w:color w:val="auto"/>
              </w:rPr>
            </w:pPr>
          </w:p>
        </w:tc>
        <w:tc>
          <w:tcPr>
            <w:tcW w:w="3000" w:type="dxa"/>
            <w:vAlign w:val="bottom"/>
            <w:tcBorders>
              <w:right w:val="single" w:sz="8" w:color="auto"/>
            </w:tcBorders>
            <w:gridSpan w:val="3"/>
          </w:tcPr>
          <w:p>
            <w:pPr>
              <w:spacing w:after="0"/>
              <w:rPr>
                <w:sz w:val="20"/>
                <w:szCs w:val="20"/>
                <w:color w:val="auto"/>
              </w:rPr>
            </w:pPr>
          </w:p>
        </w:tc>
      </w:tr>
      <w:tr>
        <w:trPr>
          <w:trHeight w:val="169"/>
        </w:trPr>
        <w:tc>
          <w:tcPr>
            <w:tcW w:w="3160" w:type="dxa"/>
            <w:vAlign w:val="bottom"/>
            <w:tcBorders>
              <w:left w:val="single" w:sz="8" w:color="auto"/>
              <w:bottom w:val="single" w:sz="8" w:color="auto"/>
              <w:right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r>
      <w:tr>
        <w:trPr>
          <w:trHeight w:val="263"/>
        </w:trPr>
        <w:tc>
          <w:tcPr>
            <w:tcW w:w="3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PSU/RSU Allocation</w:t>
            </w: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Standard Awards and True-Up Awards to each consist of no more than 70%</w:t>
            </w:r>
          </w:p>
        </w:tc>
      </w:tr>
      <w:tr>
        <w:trPr>
          <w:trHeight w:val="282"/>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PSUs, with remaining 2026 Awards being RSUs.</w:t>
            </w:r>
          </w:p>
        </w:tc>
      </w:tr>
      <w:tr>
        <w:trPr>
          <w:trHeight w:val="339"/>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PSUs to have 3% “kicker” (and terms consistent with prior awards, including</w:t>
            </w:r>
          </w:p>
        </w:tc>
      </w:tr>
      <w:tr>
        <w:trPr>
          <w:trHeight w:val="257"/>
        </w:trPr>
        <w:tc>
          <w:tcPr>
            <w:tcW w:w="316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30-day VWAP of Company common stock used to determine CAGR</w:t>
            </w:r>
          </w:p>
        </w:tc>
      </w:tr>
      <w:tr>
        <w:trPr>
          <w:trHeight w:val="282"/>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achievement).</w:t>
            </w:r>
          </w:p>
        </w:tc>
      </w:tr>
      <w:tr>
        <w:trPr>
          <w:trHeight w:val="137"/>
        </w:trPr>
        <w:tc>
          <w:tcPr>
            <w:tcW w:w="3160" w:type="dxa"/>
            <w:vAlign w:val="bottom"/>
            <w:tcBorders>
              <w:left w:val="single" w:sz="8" w:color="auto"/>
              <w:bottom w:val="single" w:sz="8" w:color="auto"/>
              <w:right w:val="single" w:sz="8" w:color="auto"/>
            </w:tcBorders>
          </w:tcPr>
          <w:p>
            <w:pPr>
              <w:spacing w:after="0"/>
              <w:rPr>
                <w:sz w:val="11"/>
                <w:szCs w:val="11"/>
                <w:color w:val="auto"/>
              </w:rPr>
            </w:pPr>
          </w:p>
        </w:tc>
        <w:tc>
          <w:tcPr>
            <w:tcW w:w="1680" w:type="dxa"/>
            <w:vAlign w:val="bottom"/>
            <w:tcBorders>
              <w:bottom w:val="single" w:sz="8" w:color="auto"/>
            </w:tcBorders>
            <w:gridSpan w:val="2"/>
          </w:tcPr>
          <w:p>
            <w:pPr>
              <w:spacing w:after="0"/>
              <w:rPr>
                <w:sz w:val="11"/>
                <w:szCs w:val="11"/>
                <w:color w:val="auto"/>
              </w:rPr>
            </w:pPr>
          </w:p>
        </w:tc>
        <w:tc>
          <w:tcPr>
            <w:tcW w:w="1140" w:type="dxa"/>
            <w:vAlign w:val="bottom"/>
            <w:tcBorders>
              <w:bottom w:val="single" w:sz="8" w:color="auto"/>
            </w:tcBorders>
            <w:gridSpan w:val="2"/>
          </w:tcPr>
          <w:p>
            <w:pPr>
              <w:spacing w:after="0"/>
              <w:rPr>
                <w:sz w:val="11"/>
                <w:szCs w:val="11"/>
                <w:color w:val="auto"/>
              </w:rPr>
            </w:pPr>
          </w:p>
        </w:tc>
        <w:tc>
          <w:tcPr>
            <w:tcW w:w="280" w:type="dxa"/>
            <w:vAlign w:val="bottom"/>
            <w:tcBorders>
              <w:bottom w:val="single" w:sz="8" w:color="auto"/>
            </w:tcBorders>
            <w:gridSpan w:val="2"/>
          </w:tcPr>
          <w:p>
            <w:pPr>
              <w:spacing w:after="0"/>
              <w:rPr>
                <w:sz w:val="11"/>
                <w:szCs w:val="11"/>
                <w:color w:val="auto"/>
              </w:rPr>
            </w:pPr>
          </w:p>
        </w:tc>
        <w:tc>
          <w:tcPr>
            <w:tcW w:w="144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r>
      <w:tr>
        <w:trPr>
          <w:trHeight w:val="289"/>
        </w:trPr>
        <w:tc>
          <w:tcPr>
            <w:tcW w:w="3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Vesting Term</w:t>
            </w: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Standard Awards to have a three-year term.</w:t>
            </w:r>
          </w:p>
        </w:tc>
      </w:tr>
      <w:tr>
        <w:trPr>
          <w:trHeight w:val="365"/>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True-Up Awards to have a two-year term.</w:t>
            </w:r>
          </w:p>
        </w:tc>
      </w:tr>
      <w:tr>
        <w:trPr>
          <w:trHeight w:val="123"/>
        </w:trPr>
        <w:tc>
          <w:tcPr>
            <w:tcW w:w="3160" w:type="dxa"/>
            <w:vAlign w:val="bottom"/>
            <w:tcBorders>
              <w:left w:val="single" w:sz="8" w:color="auto"/>
              <w:bottom w:val="single" w:sz="8" w:color="auto"/>
              <w:right w:val="single" w:sz="8" w:color="auto"/>
            </w:tcBorders>
          </w:tcPr>
          <w:p>
            <w:pPr>
              <w:spacing w:after="0"/>
              <w:rPr>
                <w:sz w:val="10"/>
                <w:szCs w:val="10"/>
                <w:color w:val="auto"/>
              </w:rPr>
            </w:pPr>
          </w:p>
        </w:tc>
        <w:tc>
          <w:tcPr>
            <w:tcW w:w="168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gridSpan w:val="2"/>
          </w:tcPr>
          <w:p>
            <w:pPr>
              <w:spacing w:after="0"/>
              <w:rPr>
                <w:sz w:val="10"/>
                <w:szCs w:val="10"/>
                <w:color w:val="auto"/>
              </w:rPr>
            </w:pPr>
          </w:p>
        </w:tc>
        <w:tc>
          <w:tcPr>
            <w:tcW w:w="280" w:type="dxa"/>
            <w:vAlign w:val="bottom"/>
            <w:tcBorders>
              <w:bottom w:val="single" w:sz="8" w:color="auto"/>
            </w:tcBorders>
            <w:gridSpan w:val="2"/>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r>
      <w:tr>
        <w:trPr>
          <w:trHeight w:val="289"/>
        </w:trPr>
        <w:tc>
          <w:tcPr>
            <w:tcW w:w="3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Vesting Mechanics</w:t>
            </w: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RSUs: Ratably on each anniversary of grant.</w:t>
            </w:r>
          </w:p>
        </w:tc>
      </w:tr>
      <w:tr>
        <w:trPr>
          <w:trHeight w:val="365"/>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PSUs: Cliff-vesting at end of term.</w:t>
            </w:r>
          </w:p>
        </w:tc>
      </w:tr>
      <w:tr>
        <w:trPr>
          <w:trHeight w:val="123"/>
        </w:trPr>
        <w:tc>
          <w:tcPr>
            <w:tcW w:w="3160" w:type="dxa"/>
            <w:vAlign w:val="bottom"/>
            <w:tcBorders>
              <w:left w:val="single" w:sz="8" w:color="auto"/>
              <w:bottom w:val="single" w:sz="8" w:color="auto"/>
              <w:right w:val="single" w:sz="8" w:color="auto"/>
            </w:tcBorders>
          </w:tcPr>
          <w:p>
            <w:pPr>
              <w:spacing w:after="0"/>
              <w:rPr>
                <w:sz w:val="10"/>
                <w:szCs w:val="10"/>
                <w:color w:val="auto"/>
              </w:rPr>
            </w:pPr>
          </w:p>
        </w:tc>
        <w:tc>
          <w:tcPr>
            <w:tcW w:w="168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gridSpan w:val="2"/>
          </w:tcPr>
          <w:p>
            <w:pPr>
              <w:spacing w:after="0"/>
              <w:rPr>
                <w:sz w:val="10"/>
                <w:szCs w:val="10"/>
                <w:color w:val="auto"/>
              </w:rPr>
            </w:pPr>
          </w:p>
        </w:tc>
        <w:tc>
          <w:tcPr>
            <w:tcW w:w="280" w:type="dxa"/>
            <w:vAlign w:val="bottom"/>
            <w:tcBorders>
              <w:bottom w:val="single" w:sz="8" w:color="auto"/>
            </w:tcBorders>
            <w:gridSpan w:val="2"/>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r>
      <w:tr>
        <w:trPr>
          <w:trHeight w:val="263"/>
        </w:trPr>
        <w:tc>
          <w:tcPr>
            <w:tcW w:w="3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PSU Payout Mechanics</w:t>
            </w: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PSUs vesting based on the achievement of 5% (50% of target PSUs), 7.5%</w:t>
            </w:r>
          </w:p>
        </w:tc>
      </w:tr>
      <w:tr>
        <w:trPr>
          <w:trHeight w:val="257"/>
        </w:trPr>
        <w:tc>
          <w:tcPr>
            <w:tcW w:w="316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(100% of target PSUs) and 10% (200% of target PSUs) CAGR, respectively</w:t>
            </w:r>
          </w:p>
        </w:tc>
      </w:tr>
      <w:tr>
        <w:trPr>
          <w:trHeight w:val="282"/>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(and terms consistent with prior awards, including regarding interpolation).</w:t>
            </w:r>
          </w:p>
        </w:tc>
      </w:tr>
      <w:tr>
        <w:trPr>
          <w:trHeight w:val="339"/>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10-day VWAP of Company common stock used to determine CAGR</w:t>
            </w:r>
          </w:p>
        </w:tc>
      </w:tr>
      <w:tr>
        <w:trPr>
          <w:trHeight w:val="282"/>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achievement.</w:t>
            </w:r>
          </w:p>
        </w:tc>
      </w:tr>
      <w:tr>
        <w:trPr>
          <w:trHeight w:val="137"/>
        </w:trPr>
        <w:tc>
          <w:tcPr>
            <w:tcW w:w="3160" w:type="dxa"/>
            <w:vAlign w:val="bottom"/>
            <w:tcBorders>
              <w:left w:val="single" w:sz="8" w:color="auto"/>
              <w:bottom w:val="single" w:sz="8" w:color="auto"/>
              <w:right w:val="single" w:sz="8" w:color="auto"/>
            </w:tcBorders>
          </w:tcPr>
          <w:p>
            <w:pPr>
              <w:spacing w:after="0"/>
              <w:rPr>
                <w:sz w:val="11"/>
                <w:szCs w:val="11"/>
                <w:color w:val="auto"/>
              </w:rPr>
            </w:pPr>
          </w:p>
        </w:tc>
        <w:tc>
          <w:tcPr>
            <w:tcW w:w="1680" w:type="dxa"/>
            <w:vAlign w:val="bottom"/>
            <w:tcBorders>
              <w:bottom w:val="single" w:sz="8" w:color="auto"/>
            </w:tcBorders>
            <w:gridSpan w:val="2"/>
          </w:tcPr>
          <w:p>
            <w:pPr>
              <w:spacing w:after="0"/>
              <w:rPr>
                <w:sz w:val="11"/>
                <w:szCs w:val="11"/>
                <w:color w:val="auto"/>
              </w:rPr>
            </w:pPr>
          </w:p>
        </w:tc>
        <w:tc>
          <w:tcPr>
            <w:tcW w:w="1140" w:type="dxa"/>
            <w:vAlign w:val="bottom"/>
            <w:tcBorders>
              <w:bottom w:val="single" w:sz="8" w:color="auto"/>
            </w:tcBorders>
            <w:gridSpan w:val="2"/>
          </w:tcPr>
          <w:p>
            <w:pPr>
              <w:spacing w:after="0"/>
              <w:rPr>
                <w:sz w:val="11"/>
                <w:szCs w:val="11"/>
                <w:color w:val="auto"/>
              </w:rPr>
            </w:pPr>
          </w:p>
        </w:tc>
        <w:tc>
          <w:tcPr>
            <w:tcW w:w="280" w:type="dxa"/>
            <w:vAlign w:val="bottom"/>
            <w:tcBorders>
              <w:bottom w:val="single" w:sz="8" w:color="auto"/>
            </w:tcBorders>
            <w:gridSpan w:val="2"/>
          </w:tcPr>
          <w:p>
            <w:pPr>
              <w:spacing w:after="0"/>
              <w:rPr>
                <w:sz w:val="11"/>
                <w:szCs w:val="11"/>
                <w:color w:val="auto"/>
              </w:rPr>
            </w:pPr>
          </w:p>
        </w:tc>
        <w:tc>
          <w:tcPr>
            <w:tcW w:w="144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r>
      <w:tr>
        <w:trPr>
          <w:trHeight w:val="263"/>
        </w:trPr>
        <w:tc>
          <w:tcPr>
            <w:tcW w:w="3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Good Leaver Vesting</w:t>
            </w: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Pro-rata vesting. For RSUs, vesting occurs immediately; for PSUs, vesting</w:t>
            </w:r>
          </w:p>
        </w:tc>
      </w:tr>
      <w:tr>
        <w:trPr>
          <w:trHeight w:val="282"/>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occurs at end of performance period based on actual performance.</w:t>
            </w:r>
          </w:p>
        </w:tc>
      </w:tr>
      <w:tr>
        <w:trPr>
          <w:trHeight w:val="123"/>
        </w:trPr>
        <w:tc>
          <w:tcPr>
            <w:tcW w:w="3160" w:type="dxa"/>
            <w:vAlign w:val="bottom"/>
            <w:tcBorders>
              <w:left w:val="single" w:sz="8" w:color="auto"/>
              <w:bottom w:val="single" w:sz="8" w:color="auto"/>
              <w:right w:val="single" w:sz="8" w:color="auto"/>
            </w:tcBorders>
          </w:tcPr>
          <w:p>
            <w:pPr>
              <w:spacing w:after="0"/>
              <w:rPr>
                <w:sz w:val="10"/>
                <w:szCs w:val="10"/>
                <w:color w:val="auto"/>
              </w:rPr>
            </w:pPr>
          </w:p>
        </w:tc>
        <w:tc>
          <w:tcPr>
            <w:tcW w:w="168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gridSpan w:val="2"/>
          </w:tcPr>
          <w:p>
            <w:pPr>
              <w:spacing w:after="0"/>
              <w:rPr>
                <w:sz w:val="10"/>
                <w:szCs w:val="10"/>
                <w:color w:val="auto"/>
              </w:rPr>
            </w:pPr>
          </w:p>
        </w:tc>
        <w:tc>
          <w:tcPr>
            <w:tcW w:w="280" w:type="dxa"/>
            <w:vAlign w:val="bottom"/>
            <w:tcBorders>
              <w:bottom w:val="single" w:sz="8" w:color="auto"/>
            </w:tcBorders>
            <w:gridSpan w:val="2"/>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r>
      <w:tr>
        <w:trPr>
          <w:trHeight w:val="263"/>
        </w:trPr>
        <w:tc>
          <w:tcPr>
            <w:tcW w:w="3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Death/Disability Vesting</w:t>
            </w: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Pro-rata vesting. For RSUs, vesting occurs immediately; for PSUs, vesting</w:t>
            </w:r>
          </w:p>
        </w:tc>
      </w:tr>
      <w:tr>
        <w:trPr>
          <w:trHeight w:val="282"/>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occurs at end of performance period based on actual performance.</w:t>
            </w:r>
          </w:p>
        </w:tc>
      </w:tr>
      <w:tr>
        <w:trPr>
          <w:trHeight w:val="123"/>
        </w:trPr>
        <w:tc>
          <w:tcPr>
            <w:tcW w:w="3160" w:type="dxa"/>
            <w:vAlign w:val="bottom"/>
            <w:tcBorders>
              <w:left w:val="single" w:sz="8" w:color="auto"/>
              <w:bottom w:val="single" w:sz="8" w:color="auto"/>
              <w:right w:val="single" w:sz="8" w:color="auto"/>
            </w:tcBorders>
          </w:tcPr>
          <w:p>
            <w:pPr>
              <w:spacing w:after="0"/>
              <w:rPr>
                <w:sz w:val="10"/>
                <w:szCs w:val="10"/>
                <w:color w:val="auto"/>
              </w:rPr>
            </w:pPr>
          </w:p>
        </w:tc>
        <w:tc>
          <w:tcPr>
            <w:tcW w:w="168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gridSpan w:val="2"/>
          </w:tcPr>
          <w:p>
            <w:pPr>
              <w:spacing w:after="0"/>
              <w:rPr>
                <w:sz w:val="10"/>
                <w:szCs w:val="10"/>
                <w:color w:val="auto"/>
              </w:rPr>
            </w:pPr>
          </w:p>
        </w:tc>
        <w:tc>
          <w:tcPr>
            <w:tcW w:w="280" w:type="dxa"/>
            <w:vAlign w:val="bottom"/>
            <w:tcBorders>
              <w:bottom w:val="single" w:sz="8" w:color="auto"/>
            </w:tcBorders>
            <w:gridSpan w:val="2"/>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r>
      <w:tr>
        <w:trPr>
          <w:trHeight w:val="263"/>
        </w:trPr>
        <w:tc>
          <w:tcPr>
            <w:tcW w:w="3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Change in Control Vesting</w:t>
            </w: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2026 Awards vest in full if awards are not assumed (with PSU performance</w:t>
            </w:r>
          </w:p>
        </w:tc>
      </w:tr>
      <w:tr>
        <w:trPr>
          <w:trHeight w:val="282"/>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determined based on the Change in Control price).</w:t>
            </w:r>
          </w:p>
        </w:tc>
      </w:tr>
      <w:tr>
        <w:trPr>
          <w:trHeight w:val="339"/>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If 2026 Awards are assumed, to be subject to double-trigger accelerated vesting</w:t>
            </w:r>
          </w:p>
        </w:tc>
      </w:tr>
      <w:tr>
        <w:trPr>
          <w:trHeight w:val="257"/>
        </w:trPr>
        <w:tc>
          <w:tcPr>
            <w:tcW w:w="3160" w:type="dxa"/>
            <w:vAlign w:val="bottom"/>
            <w:tcBorders>
              <w:left w:val="single" w:sz="8" w:color="auto"/>
              <w:right w:val="single" w:sz="8" w:color="auto"/>
            </w:tcBorders>
          </w:tcPr>
          <w:p>
            <w:pPr>
              <w:spacing w:after="0"/>
              <w:rPr>
                <w:sz w:val="22"/>
                <w:szCs w:val="22"/>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on a termination without Cause or resignation for Good Reason that occurs</w:t>
            </w:r>
          </w:p>
        </w:tc>
      </w:tr>
      <w:tr>
        <w:trPr>
          <w:trHeight w:val="270"/>
        </w:trPr>
        <w:tc>
          <w:tcPr>
            <w:tcW w:w="3160" w:type="dxa"/>
            <w:vAlign w:val="bottom"/>
            <w:tcBorders>
              <w:left w:val="single" w:sz="8" w:color="auto"/>
              <w:right w:val="single" w:sz="8" w:color="auto"/>
            </w:tcBorders>
          </w:tcPr>
          <w:p>
            <w:pPr>
              <w:spacing w:after="0"/>
              <w:rPr>
                <w:sz w:val="23"/>
                <w:szCs w:val="23"/>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within 18 months following a Change in Control (with PSU performance</w:t>
            </w:r>
          </w:p>
        </w:tc>
      </w:tr>
      <w:tr>
        <w:trPr>
          <w:trHeight w:val="282"/>
        </w:trPr>
        <w:tc>
          <w:tcPr>
            <w:tcW w:w="31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determined as of the end of the applicable performance period).</w:t>
            </w:r>
          </w:p>
        </w:tc>
      </w:tr>
      <w:tr>
        <w:trPr>
          <w:trHeight w:val="123"/>
        </w:trPr>
        <w:tc>
          <w:tcPr>
            <w:tcW w:w="3160" w:type="dxa"/>
            <w:vAlign w:val="bottom"/>
            <w:tcBorders>
              <w:left w:val="single" w:sz="8" w:color="auto"/>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r>
    </w:tbl>
    <w:p>
      <w:pPr>
        <w:sectPr>
          <w:pgSz w:w="11900" w:h="16838" w:orient="portrait"/>
          <w:cols w:equalWidth="0" w:num="1">
            <w:col w:w="10700"/>
          </w:cols>
          <w:pgMar w:left="440" w:top="1399" w:right="75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Amended and Restated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by and between Talen Energy Corporation,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Brad Berryman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as of December 12,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Employee and the Company entered into an employment agreement, effective as of June 26, 2023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WHEREAS, Employee and the Company mutually desire that Employee continue to provide services to the Company and its affiliates on the terms set forth in this Agreement, which replaces and supersedes in its entirety the Prior Agreement as of the Effective Date.</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such employment and the mutual covenants and promises herein contained, and for other good and valuable consideration, the receipt and sufficiency of which are hereby acknowledged, the Company and Employee agree as follows:</w:t>
      </w:r>
    </w:p>
    <w:p>
      <w:pPr>
        <w:spacing w:after="0" w:line="169" w:lineRule="exact"/>
        <w:rPr>
          <w:sz w:val="20"/>
          <w:szCs w:val="20"/>
          <w:color w:val="auto"/>
        </w:rPr>
      </w:pPr>
    </w:p>
    <w:p>
      <w:pPr>
        <w:ind w:left="1040" w:hanging="384"/>
        <w:spacing w:after="0"/>
        <w:tabs>
          <w:tab w:leader="none" w:pos="1040"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1806" w:val="left"/>
        </w:tabs>
        <w:numPr>
          <w:ilvl w:val="1"/>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Employment Period (as defined below), the Company shall continue to employ Employee, and Employee shall serve as Chief Operating Officer. In addition, if requested by the Company, Employee shall serve as an officer or member of the board of directors of any subsidiaries or affiliates of the Company without additional compensation.</w:t>
      </w:r>
    </w:p>
    <w:p>
      <w:pPr>
        <w:spacing w:after="0" w:line="167"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764" w:val="left"/>
        </w:tabs>
        <w:numPr>
          <w:ilvl w:val="1"/>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Employee expressly and irrevocably waives and releases any and all claims Employee may have to terminate Employee’s employment for Good Reason under the Prior Agreement and receive payments and benefits or otherwise be entitled to any other rights under any plan, program, agreement or other arrangement sponsored by the Company or any of its subsidiaries or affiliates, as the result of Employee’s role change from Chief Nuclear Officer under the Prior Agreement to Chief Operating Officer (as set forth in </w:t>
      </w:r>
      <w:r>
        <w:rPr>
          <w:rFonts w:ascii="Times New Roman" w:cs="Times New Roman" w:eastAsia="Times New Roman" w:hAnsi="Times New Roman"/>
          <w:sz w:val="22"/>
          <w:szCs w:val="22"/>
          <w:u w:val="single" w:color="auto"/>
          <w:color w:val="auto"/>
        </w:rPr>
        <w:t>Section 1(a)</w:t>
      </w:r>
      <w:r>
        <w:rPr>
          <w:rFonts w:ascii="Times New Roman" w:cs="Times New Roman" w:eastAsia="Times New Roman" w:hAnsi="Times New Roman"/>
          <w:sz w:val="22"/>
          <w:szCs w:val="22"/>
          <w:color w:val="auto"/>
        </w:rPr>
        <w:t xml:space="preserve"> above) and as a result of Employee directly reporting to the President rather than the Chief Executive Officer (as set forth in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below).</w:t>
      </w:r>
    </w:p>
    <w:p>
      <w:pPr>
        <w:spacing w:after="0" w:line="177"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Duties and Responsibilities of Employee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779" w:val="left"/>
        </w:tabs>
        <w:numPr>
          <w:ilvl w:val="1"/>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Employment Period, Employee shall actively engage in the business and affairs of the Company (together with its direct and indirect subsidiaries, the “</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as may be requested by the Chief Executive Officer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xml:space="preserve">”) of the Company from time to time, devote such amount of Employee’s business time and attention as is reasonably necessary to manage the business and affairs of the Company, which amount of time will constitute substantially all of Employee’s business time. Employee’s duties and responsibilities shall include those normally incidental to the position(s) identified in </w:t>
      </w:r>
      <w:r>
        <w:rPr>
          <w:rFonts w:ascii="Times New Roman" w:cs="Times New Roman" w:eastAsia="Times New Roman" w:hAnsi="Times New Roman"/>
          <w:sz w:val="22"/>
          <w:szCs w:val="22"/>
          <w:u w:val="single" w:color="auto"/>
          <w:color w:val="auto"/>
        </w:rPr>
        <w:t>Section (a)</w:t>
      </w:r>
      <w:r>
        <w:rPr>
          <w:rFonts w:ascii="Times New Roman" w:cs="Times New Roman" w:eastAsia="Times New Roman" w:hAnsi="Times New Roman"/>
          <w:sz w:val="22"/>
          <w:szCs w:val="22"/>
          <w:color w:val="auto"/>
        </w:rPr>
        <w:t xml:space="preserve">, as well as such additional duties as may be assigned to Employee by the CEO and/or the President from time to time, which duties and responsibilities may include providing services to other members of the Company Group in addition to the Company. Employee may, without violating this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(i) as a passive investment, own publicly traded securities in such</w:t>
      </w:r>
    </w:p>
    <w:p>
      <w:pPr>
        <w:sectPr>
          <w:pgSz w:w="11900" w:h="16838" w:orient="portrait"/>
          <w:cols w:equalWidth="0" w:num="1">
            <w:col w:w="11240"/>
          </w:cols>
          <w:pgMar w:left="320" w:top="12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1"/>
          <w:szCs w:val="21"/>
          <w:color w:val="auto"/>
        </w:rPr>
        <w:t>form or manner as will not require any services by Employee in the operation of the entities in which such securities are owned;</w:t>
      </w:r>
    </w:p>
    <w:p>
      <w:pPr>
        <w:spacing w:after="0" w:line="39" w:lineRule="exact"/>
        <w:rPr>
          <w:sz w:val="20"/>
          <w:szCs w:val="20"/>
          <w:color w:val="auto"/>
        </w:rPr>
      </w:pPr>
    </w:p>
    <w:p>
      <w:pPr>
        <w:jc w:val="both"/>
        <w:ind w:firstLine="8"/>
        <w:spacing w:after="0" w:line="246" w:lineRule="auto"/>
        <w:tabs>
          <w:tab w:leader="none" w:pos="32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charitable and civic activities, including, without limitation, serving on boards and committees of the United Way; and (iii) with the prior written consent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engage in other personal and passive investment activities, in each case,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w:t>
      </w:r>
    </w:p>
    <w:p>
      <w:pPr>
        <w:spacing w:after="0" w:line="18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99" w:val="left"/>
        </w:tabs>
        <w:numPr>
          <w:ilvl w:val="2"/>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spacing w:after="0" w:line="179" w:lineRule="exact"/>
        <w:rPr>
          <w:rFonts w:ascii="Times New Roman" w:cs="Times New Roman" w:eastAsia="Times New Roman" w:hAnsi="Times New Roman"/>
          <w:sz w:val="22"/>
          <w:szCs w:val="22"/>
          <w:color w:val="010000"/>
        </w:rPr>
      </w:pPr>
    </w:p>
    <w:p>
      <w:pPr>
        <w:jc w:val="both"/>
        <w:ind w:firstLine="1304"/>
        <w:spacing w:after="0" w:line="257" w:lineRule="auto"/>
        <w:tabs>
          <w:tab w:leader="none" w:pos="1792" w:val="left"/>
        </w:tabs>
        <w:numPr>
          <w:ilvl w:val="2"/>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owes each member of the Company Group fiduciary duties, and the obligations described in this Agreement are in addition to, and not in lieu of, the obligations Employee owes each member of the Company Group under statutory and common law.</w:t>
      </w:r>
    </w:p>
    <w:p>
      <w:pPr>
        <w:spacing w:after="0" w:line="182"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1"/>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779" w:val="left"/>
        </w:tabs>
        <w:numPr>
          <w:ilvl w:val="2"/>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Base Salar</w:t>
      </w:r>
      <w:r>
        <w:rPr>
          <w:rFonts w:ascii="Times New Roman" w:cs="Times New Roman" w:eastAsia="Times New Roman" w:hAnsi="Times New Roman"/>
          <w:sz w:val="22"/>
          <w:szCs w:val="22"/>
          <w:color w:val="auto"/>
        </w:rPr>
        <w:t>y. During the Employment Period, the Company shall pay to Employee an annualized base salary of $600,000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912" w:val="left"/>
        </w:tabs>
        <w:numPr>
          <w:ilvl w:val="2"/>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Beginning on January 1, 2026, Employee shall be eligible for bonus compensation for calendar year 2026 and each subsequent complete calendar year that Employee is employed by the Company hereunder (the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The target Annual Bonus for each such calendar year (the “</w:t>
      </w:r>
      <w:r>
        <w:rPr>
          <w:rFonts w:ascii="Times New Roman" w:cs="Times New Roman" w:eastAsia="Times New Roman" w:hAnsi="Times New Roman"/>
          <w:sz w:val="22"/>
          <w:szCs w:val="22"/>
          <w:u w:val="single" w:color="auto"/>
          <w:color w:val="auto"/>
        </w:rPr>
        <w:t>Bonus Year</w:t>
      </w:r>
      <w:r>
        <w:rPr>
          <w:rFonts w:ascii="Times New Roman" w:cs="Times New Roman" w:eastAsia="Times New Roman" w:hAnsi="Times New Roman"/>
          <w:sz w:val="22"/>
          <w:szCs w:val="22"/>
          <w:color w:val="auto"/>
        </w:rPr>
        <w:t>”) shall be 100% of Employee’s Base Salary in effect as of the first day of the Bonus Year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with the actual Annual Bonus for a Bonus Year depending on the level of achievement of the performance targets as determined by the Compensation Committee for the Bonus Year. The performance targets that must be achieved in order to be eligible for certain bonus levels shall be established by the Compensation Committee annually, in its sole discretion, and communicated to Employee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83" w:name="page84"/>
    <w:bookmarkEnd w:id="83"/>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first one-hundred twenty (120) days of the applicable Bonus Year.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For the avoidance of doubt, Employee’s Annual Bonus for calendar year 2025 shall continue to be governed by the provisions of the Prior Agreement. Notwithstanding anything in this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to the contrary, but subject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no Annual Bonus, if any, nor any portion thereof, shall be payable for any Bonus Year unless Employee remains continuously employed by the Company from the Effective Date through the date on which such Annual Bonus is paid.</w:t>
      </w:r>
    </w:p>
    <w:p>
      <w:pPr>
        <w:spacing w:after="0" w:line="180" w:lineRule="exact"/>
        <w:rPr>
          <w:sz w:val="20"/>
          <w:szCs w:val="20"/>
          <w:color w:val="auto"/>
        </w:rPr>
      </w:pPr>
    </w:p>
    <w:p>
      <w:pPr>
        <w:ind w:left="1760" w:hanging="456"/>
        <w:spacing w:after="0"/>
        <w:tabs>
          <w:tab w:leader="none" w:pos="1760"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Lon</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-Term Incentive Awards</w:t>
      </w:r>
      <w:r>
        <w:rPr>
          <w:rFonts w:ascii="Times New Roman" w:cs="Times New Roman" w:eastAsia="Times New Roman" w:hAnsi="Times New Roman"/>
          <w:sz w:val="22"/>
          <w:szCs w:val="22"/>
          <w:color w:val="auto"/>
        </w:rPr>
        <w:t>.</w:t>
      </w:r>
    </w:p>
    <w:p>
      <w:pPr>
        <w:spacing w:after="0" w:line="229" w:lineRule="exact"/>
        <w:rPr>
          <w:rFonts w:ascii="Times New Roman" w:cs="Times New Roman" w:eastAsia="Times New Roman" w:hAnsi="Times New Roman"/>
          <w:sz w:val="22"/>
          <w:szCs w:val="22"/>
          <w:color w:val="010000"/>
        </w:rPr>
      </w:pPr>
    </w:p>
    <w:p>
      <w:pPr>
        <w:jc w:val="both"/>
        <w:ind w:left="660" w:firstLine="1292"/>
        <w:spacing w:after="0" w:line="263" w:lineRule="auto"/>
        <w:tabs>
          <w:tab w:leader="none" w:pos="2389" w:val="left"/>
        </w:tabs>
        <w:numPr>
          <w:ilvl w:val="1"/>
          <w:numId w:val="1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Annual Grants</w:t>
      </w:r>
      <w:r>
        <w:rPr>
          <w:rFonts w:ascii="Times New Roman" w:cs="Times New Roman" w:eastAsia="Times New Roman" w:hAnsi="Times New Roman"/>
          <w:sz w:val="21"/>
          <w:szCs w:val="21"/>
          <w:color w:val="auto"/>
        </w:rPr>
        <w:t>. Provided that Employee is employed by the Company on the applicable date of grant,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Employee shall be eligible to receive an annual grant under the Talen Energy Corporation 2023 Equity Incentive Plan or any applicable successor plan (the “</w:t>
      </w:r>
      <w:r>
        <w:rPr>
          <w:rFonts w:ascii="Times New Roman" w:cs="Times New Roman" w:eastAsia="Times New Roman" w:hAnsi="Times New Roman"/>
          <w:sz w:val="21"/>
          <w:szCs w:val="21"/>
          <w:u w:val="single" w:color="auto"/>
          <w:color w:val="auto"/>
        </w:rPr>
        <w:t>LTIP</w:t>
      </w:r>
      <w:r>
        <w:rPr>
          <w:rFonts w:ascii="Times New Roman" w:cs="Times New Roman" w:eastAsia="Times New Roman" w:hAnsi="Times New Roman"/>
          <w:sz w:val="21"/>
          <w:szCs w:val="21"/>
          <w:color w:val="auto"/>
        </w:rPr>
        <w:t>”) with a grant date target value not less than 450% of Employee’s Base Salary as in effect on the applicable date of grant of such award on such terms and conditions as the Board and the Compensation Committee shall determine from time to time (collectively, the “</w:t>
      </w:r>
      <w:r>
        <w:rPr>
          <w:rFonts w:ascii="Times New Roman" w:cs="Times New Roman" w:eastAsia="Times New Roman" w:hAnsi="Times New Roman"/>
          <w:sz w:val="21"/>
          <w:szCs w:val="21"/>
          <w:u w:val="single" w:color="auto"/>
          <w:color w:val="auto"/>
        </w:rPr>
        <w:t>LTIP Awards</w:t>
      </w:r>
      <w:r>
        <w:rPr>
          <w:rFonts w:ascii="Times New Roman" w:cs="Times New Roman" w:eastAsia="Times New Roman" w:hAnsi="Times New Roman"/>
          <w:sz w:val="21"/>
          <w:szCs w:val="21"/>
          <w:color w:val="auto"/>
        </w:rPr>
        <w:t xml:space="preserve">”). All LTIP Awards granted to Employee under the LTIP shall be subject to and governed by the terms and provisions of the LTIP as in effect from time to time and the award agreements evidencing such awards. Employee’s annual grant for calendar year 2026 shall, subject to the approval of the Board or the Compensation Committee, be on substantially the terms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164" w:lineRule="exact"/>
        <w:rPr>
          <w:rFonts w:ascii="Times New Roman" w:cs="Times New Roman" w:eastAsia="Times New Roman" w:hAnsi="Times New Roman"/>
          <w:sz w:val="21"/>
          <w:szCs w:val="21"/>
          <w:color w:val="010000"/>
        </w:rPr>
      </w:pPr>
    </w:p>
    <w:p>
      <w:pPr>
        <w:jc w:val="both"/>
        <w:ind w:left="660" w:firstLine="1292"/>
        <w:spacing w:after="0" w:line="249" w:lineRule="auto"/>
        <w:tabs>
          <w:tab w:leader="none" w:pos="2544" w:val="left"/>
        </w:tabs>
        <w:numPr>
          <w:ilvl w:val="1"/>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Cash-Settlement; Stock Ownership Guidelines</w:t>
      </w:r>
      <w:r>
        <w:rPr>
          <w:rFonts w:ascii="Times New Roman" w:cs="Times New Roman" w:eastAsia="Times New Roman" w:hAnsi="Times New Roman"/>
          <w:sz w:val="22"/>
          <w:szCs w:val="22"/>
          <w:color w:val="auto"/>
        </w:rPr>
        <w:t>. Notwithstanding anything in the applicable award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to the contrary, if, on the date of vesting of any performance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other than the Emergence Grants (as defined below), Employee holds Company Common Stock (as defined in the LTIP) in excess of two hundred percent (200%) of the stock ownership requirements applicable to Employee under the Company’s Stock Ownership Guidelines, adopted March 14, 2024, and as updated from time to time, fifty percent (50%) of the net after-tax value of such PSUs will be settled in cash and the remaining portion will be settled in Company Common Stock, with such settlement otherwise subject to the terms of the applicable award agreement, subject to the Compensation Committee’s ability to modify the portion settled in cash to the extent necessitated by a Liquidity Constraint, as defined below.</w:t>
      </w:r>
    </w:p>
    <w:p>
      <w:pPr>
        <w:spacing w:after="0" w:line="195" w:lineRule="exact"/>
        <w:rPr>
          <w:rFonts w:ascii="Times New Roman" w:cs="Times New Roman" w:eastAsia="Times New Roman" w:hAnsi="Times New Roman"/>
          <w:sz w:val="22"/>
          <w:szCs w:val="22"/>
          <w:color w:val="010000"/>
        </w:rPr>
      </w:pPr>
    </w:p>
    <w:p>
      <w:pPr>
        <w:jc w:val="both"/>
        <w:ind w:left="660" w:firstLine="1292"/>
        <w:spacing w:after="0" w:line="249" w:lineRule="auto"/>
        <w:tabs>
          <w:tab w:leader="none" w:pos="2671" w:val="left"/>
        </w:tabs>
        <w:numPr>
          <w:ilvl w:val="1"/>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Settlement of Emergence Grants; Lock-Up</w:t>
      </w:r>
      <w:r>
        <w:rPr>
          <w:rFonts w:ascii="Times New Roman" w:cs="Times New Roman" w:eastAsia="Times New Roman" w:hAnsi="Times New Roman"/>
          <w:sz w:val="22"/>
          <w:szCs w:val="22"/>
          <w:color w:val="auto"/>
        </w:rPr>
        <w:t>. With respect to Employee’s PSUs and time-based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that were granted in 2023 and scheduled to vest and settle in calendar year 2026 (the “</w:t>
      </w:r>
      <w:r>
        <w:rPr>
          <w:rFonts w:ascii="Times New Roman" w:cs="Times New Roman" w:eastAsia="Times New Roman" w:hAnsi="Times New Roman"/>
          <w:sz w:val="22"/>
          <w:szCs w:val="22"/>
          <w:u w:val="single" w:color="auto"/>
          <w:color w:val="auto"/>
        </w:rPr>
        <w:t>Emergence Grants</w:t>
      </w:r>
      <w:r>
        <w:rPr>
          <w:rFonts w:ascii="Times New Roman" w:cs="Times New Roman" w:eastAsia="Times New Roman" w:hAnsi="Times New Roman"/>
          <w:sz w:val="22"/>
          <w:szCs w:val="22"/>
          <w:color w:val="auto"/>
        </w:rPr>
        <w:t>”), Employee and the Company acknowledge and agree that a portion of the Emergence Grants will be settled in cash in an amount equal to sixty percent (60) of the net after-tax value of each such award (the “</w:t>
      </w:r>
      <w:r>
        <w:rPr>
          <w:rFonts w:ascii="Times New Roman" w:cs="Times New Roman" w:eastAsia="Times New Roman" w:hAnsi="Times New Roman"/>
          <w:sz w:val="22"/>
          <w:szCs w:val="22"/>
          <w:u w:val="single" w:color="auto"/>
          <w:color w:val="auto"/>
        </w:rPr>
        <w:t>Cash-Settled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Portion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Fair Market Value (as defined in the LTIP) of a share of Company Common Stock on the date of vesting of the Emergence Grants exceeds $400.00, the Cash-Settled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84" w:name="page85"/>
    <w:bookmarkEnd w:id="84"/>
    <w:p>
      <w:pPr>
        <w:jc w:val="both"/>
        <w:ind w:left="660"/>
        <w:spacing w:after="0" w:line="247" w:lineRule="auto"/>
        <w:rPr>
          <w:sz w:val="20"/>
          <w:szCs w:val="20"/>
          <w:color w:val="auto"/>
        </w:rPr>
      </w:pPr>
      <w:r>
        <w:rPr>
          <w:rFonts w:ascii="Times New Roman" w:cs="Times New Roman" w:eastAsia="Times New Roman" w:hAnsi="Times New Roman"/>
          <w:sz w:val="22"/>
          <w:szCs w:val="22"/>
          <w:color w:val="auto"/>
        </w:rPr>
        <w:t>Emergence Grants will be no greater cash value in the aggregate than the Cash-Settled Portion that would result if the Fair Market Value of a share of Company Common Stock were equal to $400.00. In consideration of the foregoing, Employee agrees not to sell, contract to sell, grant any option to purchase, transfer the economic risk of ownership in, make any short sale of, pledge or otherwise transfer or dispose of, any interest in any shares of Company Common Stock received upon settlement of the Emergence Grants (each, an “</w:t>
      </w:r>
      <w:r>
        <w:rPr>
          <w:rFonts w:ascii="Times New Roman" w:cs="Times New Roman" w:eastAsia="Times New Roman" w:hAnsi="Times New Roman"/>
          <w:sz w:val="22"/>
          <w:szCs w:val="22"/>
          <w:u w:val="single" w:color="auto"/>
          <w:color w:val="auto"/>
        </w:rPr>
        <w:t>Award Share</w:t>
      </w:r>
      <w:r>
        <w:rPr>
          <w:rFonts w:ascii="Times New Roman" w:cs="Times New Roman" w:eastAsia="Times New Roman" w:hAnsi="Times New Roman"/>
          <w:sz w:val="22"/>
          <w:szCs w:val="22"/>
          <w:color w:val="auto"/>
        </w:rPr>
        <w:t>”) until November 13, 2026 (the “</w:t>
      </w:r>
      <w:r>
        <w:rPr>
          <w:rFonts w:ascii="Times New Roman" w:cs="Times New Roman" w:eastAsia="Times New Roman" w:hAnsi="Times New Roman"/>
          <w:sz w:val="22"/>
          <w:szCs w:val="22"/>
          <w:u w:val="single" w:color="auto"/>
          <w:color w:val="auto"/>
        </w:rPr>
        <w:t>Lock-Up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this paragraph shall not prohibit Employee from, during the last ninety (90) days of the Lock-Up Period,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establishing a trading plan that meets the requirements of Rule 10b5-1 under the Securities Exchange Act of 1934, as amended, so long as no trades are executed pursuant to such plan during the Lock-Up Period. Employee acknowledges and agrees that any Award Share will be subject to legends, stop transfer orders or any other similar restriction that the Company deems reasonably necessary to effectuate the provisions set forth in this </w:t>
      </w:r>
      <w:r>
        <w:rPr>
          <w:rFonts w:ascii="Times New Roman" w:cs="Times New Roman" w:eastAsia="Times New Roman" w:hAnsi="Times New Roman"/>
          <w:sz w:val="22"/>
          <w:szCs w:val="22"/>
          <w:u w:val="single" w:color="auto"/>
          <w:color w:val="auto"/>
        </w:rPr>
        <w:t>Section 3(c)(iii)</w:t>
      </w:r>
      <w:r>
        <w:rPr>
          <w:rFonts w:ascii="Times New Roman" w:cs="Times New Roman" w:eastAsia="Times New Roman" w:hAnsi="Times New Roman"/>
          <w:sz w:val="22"/>
          <w:szCs w:val="22"/>
          <w:color w:val="auto"/>
        </w:rPr>
        <w:t>. Notwithstanding the foregoing, if the Compensation Committee reasonably determines that the settlement of all or a portion of the Cash-Settled Portion of the Emergence Grants in cash would materially and adversely affect the Company (a “</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Constraint</w:t>
      </w:r>
      <w:r>
        <w:rPr>
          <w:rFonts w:ascii="Times New Roman" w:cs="Times New Roman" w:eastAsia="Times New Roman" w:hAnsi="Times New Roman"/>
          <w:sz w:val="22"/>
          <w:szCs w:val="22"/>
          <w:color w:val="auto"/>
        </w:rPr>
        <w:t xml:space="preserve">”), the Compensation Committee may elect to reduce the Cash-Settled Portion to the extent necessary to address the Liquidity Constraint, in which case the Lock-Up Period will be reduced in the same proportion by which the Cash-Settled Portion was reduced. By way of example only, if the Compensation Committee determines, in accordance with the previous sentence, that the Cash-Settled Portion will be reduced to one-half (1/2) of the Cash-Settled Portion that would otherwise result from this </w:t>
      </w:r>
      <w:r>
        <w:rPr>
          <w:rFonts w:ascii="Times New Roman" w:cs="Times New Roman" w:eastAsia="Times New Roman" w:hAnsi="Times New Roman"/>
          <w:sz w:val="22"/>
          <w:szCs w:val="22"/>
          <w:u w:val="single" w:color="auto"/>
          <w:color w:val="auto"/>
        </w:rPr>
        <w:t>Section 3(c)(iii)</w:t>
      </w:r>
      <w:r>
        <w:rPr>
          <w:rFonts w:ascii="Times New Roman" w:cs="Times New Roman" w:eastAsia="Times New Roman" w:hAnsi="Times New Roman"/>
          <w:sz w:val="22"/>
          <w:szCs w:val="22"/>
          <w:color w:val="auto"/>
        </w:rPr>
        <w:t>, the Lock-Up Period applicable to the Award Shares shall be reduced to 90 days (i.e., one-half (1/2) of 180 days).</w:t>
      </w:r>
    </w:p>
    <w:p>
      <w:pPr>
        <w:spacing w:after="0" w:line="183" w:lineRule="exact"/>
        <w:rPr>
          <w:sz w:val="20"/>
          <w:szCs w:val="20"/>
          <w:color w:val="auto"/>
        </w:rPr>
      </w:pPr>
    </w:p>
    <w:p>
      <w:pPr>
        <w:jc w:val="both"/>
        <w:ind w:firstLine="656"/>
        <w:spacing w:after="0" w:line="251" w:lineRule="auto"/>
        <w:tabs>
          <w:tab w:leader="none" w:pos="1039"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Term of Employment</w:t>
      </w:r>
      <w:r>
        <w:rPr>
          <w:rFonts w:ascii="Times New Roman" w:cs="Times New Roman" w:eastAsia="Times New Roman" w:hAnsi="Times New Roman"/>
          <w:sz w:val="22"/>
          <w:szCs w:val="22"/>
          <w:color w:val="auto"/>
        </w:rPr>
        <w:t>. The term of Employee’s employment under this Agreement shall be for the period beginning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Effective Date and ending on February 28, 2027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Thereafter, the term of this Agreement will automatically extend, on the same terms, for successive one-year periods, unless either party provides written notice of non-extension at least ninety (90) days prior to the end of the Term or any extension thereof. Notwithstanding any other provision of this Agreement, Employee’s employment pursuant to this Agreement may be terminated at any time in accordance with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010000"/>
        </w:rPr>
      </w:pPr>
    </w:p>
    <w:p>
      <w:pPr>
        <w:jc w:val="both"/>
        <w:ind w:firstLine="656"/>
        <w:spacing w:after="0" w:line="250" w:lineRule="auto"/>
        <w:tabs>
          <w:tab w:leader="none" w:pos="1066"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Business Expenses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the Company shall reimburse Employee for Employee’s reasonable 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85" w:name="page86"/>
    <w:bookmarkEnd w:id="85"/>
    <w:p>
      <w:pPr>
        <w:ind w:left="1040" w:hanging="384"/>
        <w:spacing w:after="0"/>
        <w:tabs>
          <w:tab w:leader="none" w:pos="1040" w:val="left"/>
        </w:tabs>
        <w:numPr>
          <w:ilvl w:val="0"/>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846" w:val="left"/>
        </w:tabs>
        <w:numPr>
          <w:ilvl w:val="1"/>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During the Employment Period, Employee shall continue to be eligible to participate in the same benefit plans and programs (including vacation and paid time off) in which other similarly situated Company employees are eligible to participate, subject to the terms and conditions of the applicable plans and programs in effect from time to time. The Company shall not, however, by reason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be obligated to institute, maintain, or refrain from changing, amending, or discontinuing, any such plan or policy, so long as such changes are similarly applicable to similarly situated Company employees generally.</w:t>
      </w:r>
    </w:p>
    <w:p>
      <w:pPr>
        <w:spacing w:after="0" w:line="181"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2034" w:val="left"/>
        </w:tabs>
        <w:numPr>
          <w:ilvl w:val="1"/>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cover Employee under directors’ and officers’ liability insurance through the Employment Period, and, while potential liability exists, after the termination of Employee’s employment with the Company, on substantially similar terms as provided to other executive officers of the Company.</w:t>
      </w:r>
    </w:p>
    <w:p>
      <w:pPr>
        <w:spacing w:after="0" w:line="167" w:lineRule="exact"/>
        <w:rPr>
          <w:rFonts w:ascii="Times New Roman" w:cs="Times New Roman" w:eastAsia="Times New Roman" w:hAnsi="Times New Roman"/>
          <w:sz w:val="22"/>
          <w:szCs w:val="22"/>
          <w:color w:val="010000"/>
        </w:rPr>
      </w:pPr>
    </w:p>
    <w:p>
      <w:pPr>
        <w:ind w:left="1800" w:hanging="496"/>
        <w:spacing w:after="0"/>
        <w:tabs>
          <w:tab w:leader="none" w:pos="1800" w:val="left"/>
        </w:tabs>
        <w:numPr>
          <w:ilvl w:val="1"/>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reimburse Employee up to $5,000 for legal fees incurred in connection with the review</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of this Agreement.</w:t>
      </w:r>
    </w:p>
    <w:p>
      <w:pPr>
        <w:spacing w:after="0" w:line="191"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0"/>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833" w:val="left"/>
        </w:tabs>
        <w:numPr>
          <w:ilvl w:val="1"/>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Company’s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Terminate Employee’s Employment for Cause</w:t>
      </w:r>
      <w:r>
        <w:rPr>
          <w:rFonts w:ascii="Times New Roman" w:cs="Times New Roman" w:eastAsia="Times New Roman" w:hAnsi="Times New Roman"/>
          <w:sz w:val="22"/>
          <w:szCs w:val="22"/>
          <w:color w:val="auto"/>
        </w:rPr>
        <w:t>. The Company shall have the right to terminate Employee’s employment hereunder at any time for Cause.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Employee’s commission of an act or omission, or Employee causing the Company or any other member of the Company Group to commit an act or omission, that constitutes:</w:t>
      </w:r>
    </w:p>
    <w:p>
      <w:pPr>
        <w:spacing w:after="0" w:line="176" w:lineRule="exact"/>
        <w:rPr>
          <w:rFonts w:ascii="Times New Roman" w:cs="Times New Roman" w:eastAsia="Times New Roman" w:hAnsi="Times New Roman"/>
          <w:sz w:val="22"/>
          <w:szCs w:val="22"/>
          <w:color w:val="010000"/>
        </w:rPr>
      </w:pPr>
    </w:p>
    <w:p>
      <w:pPr>
        <w:ind w:left="2380" w:hanging="428"/>
        <w:spacing w:after="0"/>
        <w:tabs>
          <w:tab w:leader="none" w:pos="2380" w:val="left"/>
        </w:tabs>
        <w:numPr>
          <w:ilvl w:val="2"/>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fraud or misconduct;</w:t>
      </w:r>
    </w:p>
    <w:p>
      <w:pPr>
        <w:spacing w:after="0" w:line="219" w:lineRule="exact"/>
        <w:rPr>
          <w:rFonts w:ascii="Times New Roman" w:cs="Times New Roman" w:eastAsia="Times New Roman" w:hAnsi="Times New Roman"/>
          <w:sz w:val="22"/>
          <w:szCs w:val="22"/>
          <w:color w:val="010000"/>
        </w:rPr>
      </w:pPr>
    </w:p>
    <w:p>
      <w:pPr>
        <w:jc w:val="both"/>
        <w:ind w:left="660" w:right="20" w:firstLine="1292"/>
        <w:spacing w:after="0" w:line="263" w:lineRule="auto"/>
        <w:tabs>
          <w:tab w:leader="none" w:pos="2476" w:val="left"/>
        </w:tabs>
        <w:numPr>
          <w:ilvl w:val="2"/>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spacing w:after="0" w:line="167"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563" w:val="left"/>
        </w:tabs>
        <w:numPr>
          <w:ilvl w:val="2"/>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material breach of this Agreement or any other written agreement between Employee and one or more members of the Company Group, including Employee’s material breach of any representation, warranty or covenant made under any such agreement;</w:t>
      </w:r>
    </w:p>
    <w:p>
      <w:pPr>
        <w:spacing w:after="0" w:line="186"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538" w:val="left"/>
        </w:tabs>
        <w:numPr>
          <w:ilvl w:val="2"/>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w:t>
      </w:r>
    </w:p>
    <w:p>
      <w:pPr>
        <w:spacing w:after="0" w:line="172"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464" w:val="left"/>
        </w:tabs>
        <w:numPr>
          <w:ilvl w:val="2"/>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breach of his duty of loyalty to the Company or violation of the Company’s policies (to the extent such policies have been clearly communicated in writing to Employee), including the Company’s code of conduct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8" w:right="339" w:bottom="1440" w:gutter="0" w:footer="0" w:header="0"/>
        </w:sectPr>
      </w:pPr>
    </w:p>
    <w:bookmarkStart w:id="86" w:name="page87"/>
    <w:bookmarkEnd w:id="86"/>
    <w:p>
      <w:pPr>
        <w:ind w:left="660"/>
        <w:spacing w:after="0" w:line="271" w:lineRule="auto"/>
        <w:rPr>
          <w:sz w:val="20"/>
          <w:szCs w:val="20"/>
          <w:color w:val="auto"/>
        </w:rPr>
      </w:pPr>
      <w:r>
        <w:rPr>
          <w:rFonts w:ascii="Times New Roman" w:cs="Times New Roman" w:eastAsia="Times New Roman" w:hAnsi="Times New Roman"/>
          <w:sz w:val="22"/>
          <w:szCs w:val="22"/>
          <w:color w:val="auto"/>
        </w:rPr>
        <w:t>business ethics (or similar policies), anti-harassment policy, anti-retaliation, or policies related to age, sex or other prohibited discrimination in the workplace; or</w:t>
      </w:r>
    </w:p>
    <w:p>
      <w:pPr>
        <w:spacing w:after="0" w:line="154" w:lineRule="exact"/>
        <w:rPr>
          <w:sz w:val="20"/>
          <w:szCs w:val="20"/>
          <w:color w:val="auto"/>
        </w:rPr>
      </w:pPr>
    </w:p>
    <w:p>
      <w:pPr>
        <w:ind w:left="2480" w:hanging="528"/>
        <w:spacing w:after="0"/>
        <w:tabs>
          <w:tab w:leader="none" w:pos="2480"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Employee’s conviction or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 or crime involving moral turpitude.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Notwithstanding the foregoing, no determination of “Cause” may be made pursuant to </w:t>
      </w:r>
      <w:r>
        <w:rPr>
          <w:rFonts w:ascii="Times New Roman" w:cs="Times New Roman" w:eastAsia="Times New Roman" w:hAnsi="Times New Roman"/>
          <w:sz w:val="22"/>
          <w:szCs w:val="22"/>
          <w:u w:val="single" w:color="auto"/>
          <w:color w:val="auto"/>
        </w:rPr>
        <w:t>Sections 7(a)(ii)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unless</w:t>
      </w:r>
    </w:p>
    <w:p>
      <w:pPr>
        <w:spacing w:after="0" w:line="28" w:lineRule="exact"/>
        <w:rPr>
          <w:sz w:val="20"/>
          <w:szCs w:val="20"/>
          <w:color w:val="auto"/>
        </w:rPr>
      </w:pPr>
    </w:p>
    <w:p>
      <w:pPr>
        <w:jc w:val="both"/>
        <w:ind w:firstLine="8"/>
        <w:spacing w:after="0" w:line="245" w:lineRule="auto"/>
        <w:tabs>
          <w:tab w:leader="none" w:pos="31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Employee has been given written notice by the Board describing the specific alleged action(s) or omission(s) that constitute “Cause,” and (2) Employee has failed to cure such acts or omissions within thirty (30) days of such notice from the Board. Upon the termination of Employee’s employment pursuant to this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Times New Roman" w:cs="Times New Roman" w:eastAsia="Times New Roman" w:hAnsi="Times New Roman"/>
          <w:sz w:val="22"/>
          <w:szCs w:val="22"/>
          <w:u w:val="single" w:color="auto"/>
          <w:color w:val="auto"/>
        </w:rPr>
        <w:t>Sections 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6(c)</w:t>
      </w:r>
      <w:r>
        <w:rPr>
          <w:rFonts w:ascii="Times New Roman" w:cs="Times New Roman" w:eastAsia="Times New Roman" w:hAnsi="Times New Roman"/>
          <w:sz w:val="22"/>
          <w:szCs w:val="22"/>
          <w:color w:val="auto"/>
        </w:rPr>
        <w:t xml:space="preserve">, and (C) benefits to which Employee is entitled under the terms of any applicable benefit plan or program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6(a)</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Accrued Benefits</w:t>
      </w:r>
      <w:r>
        <w:rPr>
          <w:rFonts w:ascii="Times New Roman" w:cs="Times New Roman" w:eastAsia="Times New Roman" w:hAnsi="Times New Roman"/>
          <w:sz w:val="22"/>
          <w:szCs w:val="22"/>
          <w:color w:val="auto"/>
        </w:rPr>
        <w:t xml:space="preserve">”). In addition, subject to any limitation under applicable law, previously paid compensation pursuant to </w:t>
      </w:r>
      <w:r>
        <w:rPr>
          <w:rFonts w:ascii="Times New Roman" w:cs="Times New Roman" w:eastAsia="Times New Roman" w:hAnsi="Times New Roman"/>
          <w:sz w:val="22"/>
          <w:szCs w:val="22"/>
          <w:u w:val="single" w:color="auto"/>
          <w:color w:val="auto"/>
        </w:rPr>
        <w:t>Sections 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3(c)</w:t>
      </w:r>
      <w:r>
        <w:rPr>
          <w:rFonts w:ascii="Times New Roman" w:cs="Times New Roman" w:eastAsia="Times New Roman" w:hAnsi="Times New Roman"/>
          <w:sz w:val="22"/>
          <w:szCs w:val="22"/>
          <w:color w:val="auto"/>
        </w:rPr>
        <w:t xml:space="preserve"> shall be subject to clawback or forfeiture and cancellation at the discretion of the Compensation Committee in the event of a termination of Employee’s employment for Cause.</w:t>
      </w:r>
    </w:p>
    <w:p>
      <w:pPr>
        <w:spacing w:after="0" w:line="189" w:lineRule="exact"/>
        <w:rPr>
          <w:rFonts w:ascii="Times New Roman" w:cs="Times New Roman" w:eastAsia="Times New Roman" w:hAnsi="Times New Roman"/>
          <w:sz w:val="22"/>
          <w:szCs w:val="22"/>
          <w:color w:val="auto"/>
        </w:rPr>
      </w:pPr>
    </w:p>
    <w:p>
      <w:pPr>
        <w:jc w:val="both"/>
        <w:ind w:firstLine="1304"/>
        <w:spacing w:after="0" w:line="268" w:lineRule="auto"/>
        <w:tabs>
          <w:tab w:leader="none" w:pos="1804" w:val="left"/>
        </w:tabs>
        <w:numPr>
          <w:ilvl w:val="1"/>
          <w:numId w:val="1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Company’s Ri</w:t>
      </w:r>
      <w:r>
        <w:rPr>
          <w:rFonts w:ascii="Times New Roman" w:cs="Times New Roman" w:eastAsia="Times New Roman" w:hAnsi="Times New Roman"/>
          <w:sz w:val="21"/>
          <w:szCs w:val="21"/>
          <w:color w:val="auto"/>
        </w:rPr>
        <w:t>g</w:t>
      </w:r>
      <w:r>
        <w:rPr>
          <w:rFonts w:ascii="Times New Roman" w:cs="Times New Roman" w:eastAsia="Times New Roman" w:hAnsi="Times New Roman"/>
          <w:sz w:val="21"/>
          <w:szCs w:val="21"/>
          <w:u w:val="single" w:color="auto"/>
          <w:color w:val="auto"/>
        </w:rPr>
        <w:t>ht to Terminate for Convenience or for Non-Renewal of Term</w:t>
      </w:r>
      <w:r>
        <w:rPr>
          <w:rFonts w:ascii="Times New Roman" w:cs="Times New Roman" w:eastAsia="Times New Roman" w:hAnsi="Times New Roman"/>
          <w:sz w:val="21"/>
          <w:szCs w:val="21"/>
          <w:color w:val="auto"/>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 xml:space="preserve">. The Company shall also have the right to terminate Employee by non-renewal of the Term or any extension thereof upon ninety (90)-days written notice to Employee, in which event Employee shall receive the compensation and benefits described in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w:t>
      </w:r>
    </w:p>
    <w:p>
      <w:pPr>
        <w:spacing w:after="0" w:line="163" w:lineRule="exact"/>
        <w:rPr>
          <w:rFonts w:ascii="Times New Roman" w:cs="Times New Roman" w:eastAsia="Times New Roman" w:hAnsi="Times New Roman"/>
          <w:sz w:val="21"/>
          <w:szCs w:val="21"/>
          <w:color w:val="010000"/>
        </w:rPr>
      </w:pPr>
    </w:p>
    <w:p>
      <w:pPr>
        <w:jc w:val="both"/>
        <w:ind w:firstLine="1304"/>
        <w:spacing w:after="0" w:line="256" w:lineRule="auto"/>
        <w:tabs>
          <w:tab w:leader="none" w:pos="1833" w:val="left"/>
        </w:tabs>
        <w:numPr>
          <w:ilvl w:val="1"/>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Employee’s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Terminate for Good Reason</w:t>
      </w:r>
      <w:r>
        <w:rPr>
          <w:rFonts w:ascii="Times New Roman" w:cs="Times New Roman" w:eastAsia="Times New Roman" w:hAnsi="Times New Roman"/>
          <w:sz w:val="22"/>
          <w:szCs w:val="22"/>
          <w:color w:val="auto"/>
        </w:rPr>
        <w:t xml:space="preserve">. Employee shall have the right to terminate Employee’s employment with the Company at any time for Good Reason, in which event Employee shall receive the compensation and benefits described in </w:t>
      </w:r>
      <w:r>
        <w:rPr>
          <w:rFonts w:ascii="Times New Roman" w:cs="Times New Roman" w:eastAsia="Times New Roman" w:hAnsi="Times New Roman"/>
          <w:sz w:val="22"/>
          <w:szCs w:val="22"/>
          <w:u w:val="single" w:color="auto"/>
          <w:color w:val="auto"/>
        </w:rPr>
        <w:t>Section 7(f)</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any of the following occurring without Employee’s consent:</w:t>
      </w:r>
    </w:p>
    <w:p>
      <w:pPr>
        <w:spacing w:after="0" w:line="176" w:lineRule="exact"/>
        <w:rPr>
          <w:rFonts w:ascii="Times New Roman" w:cs="Times New Roman" w:eastAsia="Times New Roman" w:hAnsi="Times New Roman"/>
          <w:sz w:val="22"/>
          <w:szCs w:val="22"/>
          <w:color w:val="010000"/>
        </w:rPr>
      </w:pPr>
    </w:p>
    <w:p>
      <w:pPr>
        <w:ind w:left="2620" w:hanging="668"/>
        <w:spacing w:after="0"/>
        <w:tabs>
          <w:tab w:leader="none" w:pos="2620" w:val="left"/>
        </w:tabs>
        <w:numPr>
          <w:ilvl w:val="2"/>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adverse change in Employee’s title, duties or responsibilities (including reporting</w:t>
      </w:r>
    </w:p>
    <w:p>
      <w:pPr>
        <w:spacing w:after="0" w:line="27" w:lineRule="exact"/>
        <w:rPr>
          <w:rFonts w:ascii="Times New Roman" w:cs="Times New Roman" w:eastAsia="Times New Roman" w:hAnsi="Times New Roman"/>
          <w:sz w:val="22"/>
          <w:szCs w:val="22"/>
          <w:color w:val="010000"/>
        </w:rPr>
      </w:pP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responsibilities);</w:t>
      </w:r>
    </w:p>
    <w:p>
      <w:pPr>
        <w:spacing w:after="0" w:line="209" w:lineRule="exact"/>
        <w:rPr>
          <w:rFonts w:ascii="Times New Roman" w:cs="Times New Roman" w:eastAsia="Times New Roman" w:hAnsi="Times New Roman"/>
          <w:sz w:val="22"/>
          <w:szCs w:val="22"/>
          <w:color w:val="010000"/>
        </w:rPr>
      </w:pPr>
    </w:p>
    <w:p>
      <w:pPr>
        <w:ind w:left="2440" w:hanging="488"/>
        <w:spacing w:after="0"/>
        <w:tabs>
          <w:tab w:leader="none" w:pos="2440" w:val="left"/>
        </w:tabs>
        <w:numPr>
          <w:ilvl w:val="2"/>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reduction in Employee’s Base Salary;</w:t>
      </w:r>
    </w:p>
    <w:p>
      <w:pPr>
        <w:spacing w:after="0" w:line="219" w:lineRule="exact"/>
        <w:rPr>
          <w:rFonts w:ascii="Times New Roman" w:cs="Times New Roman" w:eastAsia="Times New Roman" w:hAnsi="Times New Roman"/>
          <w:sz w:val="22"/>
          <w:szCs w:val="22"/>
          <w:color w:val="010000"/>
        </w:rPr>
      </w:pPr>
    </w:p>
    <w:p>
      <w:pPr>
        <w:ind w:left="660" w:right="20" w:firstLine="1292"/>
        <w:spacing w:after="0" w:line="271" w:lineRule="auto"/>
        <w:tabs>
          <w:tab w:leader="none" w:pos="2604" w:val="left"/>
        </w:tabs>
        <w:numPr>
          <w:ilvl w:val="2"/>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relocation of Employee’s primary work location to a distance of more than 50 miles from the Houston, Texas metropolitan area; or</w:t>
      </w:r>
    </w:p>
    <w:p>
      <w:pPr>
        <w:spacing w:after="0" w:line="157" w:lineRule="exact"/>
        <w:rPr>
          <w:rFonts w:ascii="Times New Roman" w:cs="Times New Roman" w:eastAsia="Times New Roman" w:hAnsi="Times New Roman"/>
          <w:sz w:val="22"/>
          <w:szCs w:val="22"/>
          <w:color w:val="010000"/>
        </w:rPr>
      </w:pPr>
    </w:p>
    <w:p>
      <w:pPr>
        <w:ind w:left="2480" w:hanging="528"/>
        <w:spacing w:after="0"/>
        <w:tabs>
          <w:tab w:leader="none" w:pos="2480" w:val="left"/>
        </w:tabs>
        <w:numPr>
          <w:ilvl w:val="2"/>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breach by the Company of any of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87" w:name="page88"/>
    <w:bookmarkEnd w:id="87"/>
    <w:p>
      <w:pPr>
        <w:jc w:val="both"/>
        <w:spacing w:after="0" w:line="253" w:lineRule="auto"/>
        <w:rPr>
          <w:sz w:val="20"/>
          <w:szCs w:val="20"/>
          <w:color w:val="auto"/>
        </w:rPr>
      </w:pPr>
      <w:r>
        <w:rPr>
          <w:rFonts w:ascii="Times New Roman" w:cs="Times New Roman" w:eastAsia="Times New Roman" w:hAnsi="Times New Roman"/>
          <w:sz w:val="22"/>
          <w:szCs w:val="22"/>
          <w:color w:val="auto"/>
        </w:rPr>
        <w:t>The Company and Employee agree that Good Reason shall not exist unless and until Employee provides the Company with written notice of the acts alleged to constitute Good Reason within ninety (90) days of Employee’s knowledge of the occurrence of such event, and Company fails to cure such acts within thirty (30) days of receipt of such notice. Employee must terminate employment within sixty (60) days following the expiration of such cure period for the termination to be on account of Good Reason.</w:t>
      </w:r>
    </w:p>
    <w:p>
      <w:pPr>
        <w:spacing w:after="0" w:line="179" w:lineRule="exact"/>
        <w:rPr>
          <w:sz w:val="20"/>
          <w:szCs w:val="20"/>
          <w:color w:val="auto"/>
        </w:rPr>
      </w:pPr>
    </w:p>
    <w:p>
      <w:pPr>
        <w:jc w:val="both"/>
        <w:ind w:firstLine="1304"/>
        <w:spacing w:after="0" w:line="259" w:lineRule="auto"/>
        <w:tabs>
          <w:tab w:leader="none" w:pos="1804" w:val="left"/>
        </w:tabs>
        <w:numPr>
          <w:ilvl w:val="1"/>
          <w:numId w:val="1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Death or Disabilit</w:t>
      </w:r>
      <w:r>
        <w:rPr>
          <w:rFonts w:ascii="Times New Roman" w:cs="Times New Roman" w:eastAsia="Times New Roman" w:hAnsi="Times New Roman"/>
          <w:sz w:val="21"/>
          <w:szCs w:val="21"/>
          <w:color w:val="auto"/>
        </w:rPr>
        <w:t>y.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(the “</w:t>
      </w:r>
      <w:r>
        <w:rPr>
          <w:rFonts w:ascii="Times New Roman" w:cs="Times New Roman" w:eastAsia="Times New Roman" w:hAnsi="Times New Roman"/>
          <w:sz w:val="21"/>
          <w:szCs w:val="21"/>
          <w:u w:val="single" w:color="auto"/>
          <w:color w:val="auto"/>
        </w:rPr>
        <w:t>Prior Year Bonus</w:t>
      </w:r>
      <w:r>
        <w:rPr>
          <w:rFonts w:ascii="Times New Roman" w:cs="Times New Roman" w:eastAsia="Times New Roman" w:hAnsi="Times New Roman"/>
          <w:sz w:val="21"/>
          <w:szCs w:val="21"/>
          <w:color w:val="auto"/>
        </w:rPr>
        <w:t>”) (which amount shall be paid within sixty (60) days following the date of such termination of employment but in no event later than March 15 of the year following the Bonus Year to which such Annual Bonus relates), (iii) an amount equal to the Target Bonus for the year in which such termination of employment occurs, prorated for the period of days beginning on January 1 and ending on the date of such termination of employment relative to the number of days in the applicable Bonus Year (the “</w:t>
      </w:r>
      <w:r>
        <w:rPr>
          <w:rFonts w:ascii="Times New Roman" w:cs="Times New Roman" w:eastAsia="Times New Roman" w:hAnsi="Times New Roman"/>
          <w:sz w:val="21"/>
          <w:szCs w:val="21"/>
          <w:u w:val="single" w:color="auto"/>
          <w:color w:val="auto"/>
        </w:rPr>
        <w:t>Prorated Target Bonus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Prorated Target Bonus described in </w:t>
      </w:r>
      <w:r>
        <w:rPr>
          <w:rFonts w:ascii="Times New Roman" w:cs="Times New Roman" w:eastAsia="Times New Roman" w:hAnsi="Times New Roman"/>
          <w:sz w:val="21"/>
          <w:szCs w:val="21"/>
          <w:u w:val="single" w:color="auto"/>
          <w:color w:val="auto"/>
        </w:rPr>
        <w:t>clause</w:t>
      </w:r>
    </w:p>
    <w:p>
      <w:pPr>
        <w:spacing w:after="0" w:line="4" w:lineRule="exact"/>
        <w:rPr>
          <w:rFonts w:ascii="Times New Roman" w:cs="Times New Roman" w:eastAsia="Times New Roman" w:hAnsi="Times New Roman"/>
          <w:sz w:val="21"/>
          <w:szCs w:val="21"/>
          <w:color w:val="010000"/>
        </w:rPr>
      </w:pPr>
    </w:p>
    <w:p>
      <w:pPr>
        <w:jc w:val="both"/>
        <w:ind w:firstLine="8"/>
        <w:spacing w:after="0" w:line="246" w:lineRule="auto"/>
        <w:tabs>
          <w:tab w:leader="none" w:pos="393" w:val="left"/>
        </w:tabs>
        <w:numPr>
          <w:ilvl w:val="0"/>
          <w:numId w:val="14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the preceding sentence, if any, shall be paid in a lump sum in cash on the Company’s first regularly scheduled pay date that is on or after the date that is sixty (60) days after the date on which Employee’s employment terminates (the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and (iv) subject to Employee’s timely election of continuation coverage under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xml:space="preserve">”), continued participation (pursuant to COBRA) in the Company’s group health plan (to the extent permitted under applicable law and the terms of such plan) covering Employee and Employee’s eligible dependents for a period of thirty-six (36) months at Employee’s (or Employee’s estate’s, in the case of Employee’s death) sole expense,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may modify the continuation coverage contemplated by this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 xml:space="preserve"> to the extent reasonably necessary to avoid the imposition of any excise taxes on the Company for failure to comply with the nondiscrimination requirements of Section 105(h) of the Internal Revenue Code of 1986, as amended; the Patient Protection and Affordable Care Act of 2010, as amended; and/or the Health Care and Education Reconciliation Act of 2010, as amended, and in each case, the regulations and guidance promulgated thereunder (to the extent applicable) (the “</w:t>
      </w:r>
      <w:r>
        <w:rPr>
          <w:rFonts w:ascii="Times New Roman" w:cs="Times New Roman" w:eastAsia="Times New Roman" w:hAnsi="Times New Roman"/>
          <w:sz w:val="22"/>
          <w:szCs w:val="22"/>
          <w:u w:val="single" w:color="auto"/>
          <w:color w:val="auto"/>
        </w:rPr>
        <w:t>COBRA Continuation</w:t>
      </w:r>
      <w:r>
        <w:rPr>
          <w:rFonts w:ascii="Times New Roman" w:cs="Times New Roman" w:eastAsia="Times New Roman" w:hAnsi="Times New Roman"/>
          <w:sz w:val="22"/>
          <w:szCs w:val="22"/>
          <w:color w:val="auto"/>
        </w:rPr>
        <w:t>”). For purposes of this Agreement, a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w:t>
      </w:r>
    </w:p>
    <w:p>
      <w:pPr>
        <w:spacing w:after="0" w:line="187" w:lineRule="exact"/>
        <w:rPr>
          <w:rFonts w:ascii="Times New Roman" w:cs="Times New Roman" w:eastAsia="Times New Roman" w:hAnsi="Times New Roman"/>
          <w:sz w:val="22"/>
          <w:szCs w:val="22"/>
          <w:u w:val="single" w:color="auto"/>
          <w:color w:val="auto"/>
        </w:rPr>
      </w:pPr>
    </w:p>
    <w:p>
      <w:pPr>
        <w:jc w:val="both"/>
        <w:ind w:firstLine="1304"/>
        <w:spacing w:after="0" w:line="256" w:lineRule="auto"/>
        <w:tabs>
          <w:tab w:leader="none" w:pos="1752" w:val="left"/>
        </w:tabs>
        <w:numPr>
          <w:ilvl w:val="1"/>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Employee’s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 to Terminate for Convenience or Non-Renewal of Term</w:t>
      </w:r>
      <w:r>
        <w:rPr>
          <w:rFonts w:ascii="Times New Roman" w:cs="Times New Roman" w:eastAsia="Times New Roman" w:hAnsi="Times New Roman"/>
          <w:sz w:val="22"/>
          <w:szCs w:val="22"/>
          <w:color w:val="auto"/>
        </w:rPr>
        <w:t>. In addition to Employee’s right to terminate Employee’s employment for Good Reason, Employee shall have the right to terminate Employee’s employment with the Company for convenience at any time and for any other reason, or no reason at all, upon sixty (60) days’ advance written notice to the Company (or ninety (90) days, in the event of a non-renewal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88" w:name="page89"/>
    <w:bookmarkEnd w:id="88"/>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Term or any extension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xml:space="preserve">). Upon the termination of Employee’s employment pursuant to this </w:t>
      </w:r>
      <w:r>
        <w:rPr>
          <w:rFonts w:ascii="Times New Roman" w:cs="Times New Roman" w:eastAsia="Times New Roman" w:hAnsi="Times New Roman"/>
          <w:sz w:val="22"/>
          <w:szCs w:val="22"/>
          <w:u w:val="single" w:color="auto"/>
          <w:color w:val="auto"/>
        </w:rPr>
        <w:t>Section 7(e)</w:t>
      </w:r>
      <w:r>
        <w:rPr>
          <w:rFonts w:ascii="Times New Roman" w:cs="Times New Roman" w:eastAsia="Times New Roman" w:hAnsi="Times New Roman"/>
          <w:sz w:val="22"/>
          <w:szCs w:val="22"/>
          <w:color w:val="auto"/>
        </w:rPr>
        <w:t xml:space="preserve">, (i) the Company shall pay to Employee the Accrued Benefits and (ii) if Employee provides at least ninety (90) days’ written notice of termination and such termination occurs at or following the end of the initial Term, Employee shall be eligible for the COBRA Continuation, subject to the same terms, conditions and eligibility requirements set forth in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 Additionally, if Employee (a) provides at least ninety (90) days’ written notice of termination related to a non-renewal of term (including any renewal terms following the initial Term), (b)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upon such termination, and (c) abides by the terms of each of </w:t>
      </w:r>
      <w:r>
        <w:rPr>
          <w:rFonts w:ascii="Times New Roman" w:cs="Times New Roman" w:eastAsia="Times New Roman" w:hAnsi="Times New Roman"/>
          <w:sz w:val="22"/>
          <w:szCs w:val="22"/>
          <w:u w:val="single" w:color="auto"/>
          <w:color w:val="auto"/>
        </w:rPr>
        <w:t>Sections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Employee shall receive the Prior Year Bonus, if any (which amount shall be paid within sixty (60) days following the date of such termination of employment but in no event later than March 15 of the year following the Bonus Year to which such Annual Bonus relates).</w:t>
      </w:r>
    </w:p>
    <w:p>
      <w:pPr>
        <w:spacing w:after="0" w:line="201" w:lineRule="exact"/>
        <w:rPr>
          <w:sz w:val="20"/>
          <w:szCs w:val="20"/>
          <w:color w:val="auto"/>
        </w:rPr>
      </w:pPr>
    </w:p>
    <w:p>
      <w:pPr>
        <w:ind w:left="1760" w:hanging="456"/>
        <w:spacing w:after="0"/>
        <w:tabs>
          <w:tab w:leader="none" w:pos="1760" w:val="left"/>
        </w:tabs>
        <w:numPr>
          <w:ilvl w:val="0"/>
          <w:numId w:val="1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Effect of Termination of Employment without Cause, for Good Reason, or for the Company’s Non-Renewal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of the Term</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2400" w:hanging="448"/>
        <w:spacing w:after="0"/>
        <w:tabs>
          <w:tab w:leader="none" w:pos="2400" w:val="left"/>
        </w:tabs>
        <w:numPr>
          <w:ilvl w:val="1"/>
          <w:numId w:val="1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Outside a Change in Control Period</w:t>
      </w:r>
      <w:r>
        <w:rPr>
          <w:rFonts w:ascii="Times New Roman" w:cs="Times New Roman" w:eastAsia="Times New Roman" w:hAnsi="Times New Roman"/>
          <w:sz w:val="21"/>
          <w:szCs w:val="21"/>
          <w:color w:val="auto"/>
        </w:rPr>
        <w:t>. If Employee’s employment hereunder is terminated</w:t>
      </w:r>
    </w:p>
    <w:p>
      <w:pPr>
        <w:spacing w:after="0" w:line="39" w:lineRule="exact"/>
        <w:rPr>
          <w:rFonts w:ascii="Times New Roman" w:cs="Times New Roman" w:eastAsia="Times New Roman" w:hAnsi="Times New Roman"/>
          <w:sz w:val="21"/>
          <w:szCs w:val="21"/>
          <w:color w:val="010000"/>
        </w:rPr>
      </w:pPr>
    </w:p>
    <w:p>
      <w:pPr>
        <w:jc w:val="both"/>
        <w:ind w:left="660" w:hanging="4"/>
        <w:spacing w:after="0" w:line="259" w:lineRule="auto"/>
        <w:tabs>
          <w:tab w:leader="none" w:pos="1017"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Company without Cause (including as a result of a non-renewal of the Term or any extension thereof)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or is terminated by Employee for Good Reason pursuant to </w:t>
      </w:r>
      <w:r>
        <w:rPr>
          <w:rFonts w:ascii="Times New Roman" w:cs="Times New Roman" w:eastAsia="Times New Roman" w:hAnsi="Times New Roman"/>
          <w:sz w:val="21"/>
          <w:szCs w:val="21"/>
          <w:u w:val="single" w:color="auto"/>
          <w:color w:val="auto"/>
        </w:rPr>
        <w:t>Section 7(c)</w:t>
      </w:r>
      <w:r>
        <w:rPr>
          <w:rFonts w:ascii="Times New Roman" w:cs="Times New Roman" w:eastAsia="Times New Roman" w:hAnsi="Times New Roman"/>
          <w:sz w:val="21"/>
          <w:szCs w:val="21"/>
          <w:color w:val="auto"/>
        </w:rPr>
        <w:t xml:space="preserve"> and (B) the Termination Date is not on or within eighteen (18) months following a Change in Control (as defined in the LTIP, and such period, the “</w:t>
      </w:r>
      <w:r>
        <w:rPr>
          <w:rFonts w:ascii="Times New Roman" w:cs="Times New Roman" w:eastAsia="Times New Roman" w:hAnsi="Times New Roman"/>
          <w:sz w:val="21"/>
          <w:szCs w:val="21"/>
          <w:u w:val="single" w:color="auto"/>
          <w:color w:val="auto"/>
        </w:rPr>
        <w:t>Change in Control Period</w:t>
      </w:r>
      <w:r>
        <w:rPr>
          <w:rFonts w:ascii="Times New Roman" w:cs="Times New Roman" w:eastAsia="Times New Roman" w:hAnsi="Times New Roman"/>
          <w:sz w:val="21"/>
          <w:szCs w:val="21"/>
          <w:color w:val="auto"/>
        </w:rPr>
        <w:t>”), then the Company shall pay Employee the Accrued Benefits and any Prior Year Bonus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the Release,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8" w:right="339" w:bottom="1440" w:gutter="0" w:footer="0" w:header="0"/>
        </w:sectPr>
      </w:pPr>
    </w:p>
    <w:bookmarkStart w:id="89" w:name="page90"/>
    <w:bookmarkEnd w:id="89"/>
    <w:p>
      <w:pPr>
        <w:ind w:left="4"/>
        <w:spacing w:after="0" w:line="254" w:lineRule="auto"/>
        <w:rPr>
          <w:sz w:val="20"/>
          <w:szCs w:val="20"/>
          <w:color w:val="auto"/>
        </w:rPr>
      </w:pPr>
      <w:r>
        <w:rPr>
          <w:rFonts w:ascii="Times New Roman" w:cs="Times New Roman" w:eastAsia="Times New Roman" w:hAnsi="Times New Roman"/>
          <w:sz w:val="22"/>
          <w:szCs w:val="22"/>
          <w:color w:val="auto"/>
        </w:rPr>
        <w:t xml:space="preserve">Employee’s employment with the Company and any other member of the Company Group or the termination of such employment, but excluding all claims to severance payments, Employee may have under this </w:t>
      </w:r>
      <w:r>
        <w:rPr>
          <w:rFonts w:ascii="Times New Roman" w:cs="Times New Roman" w:eastAsia="Times New Roman" w:hAnsi="Times New Roman"/>
          <w:sz w:val="22"/>
          <w:szCs w:val="22"/>
          <w:u w:val="single" w:color="auto"/>
          <w:color w:val="auto"/>
        </w:rPr>
        <w:t>Section 7(f)(i)</w:t>
      </w:r>
      <w:r>
        <w:rPr>
          <w:rFonts w:ascii="Times New Roman" w:cs="Times New Roman" w:eastAsia="Times New Roman" w:hAnsi="Times New Roman"/>
          <w:sz w:val="22"/>
          <w:szCs w:val="22"/>
          <w:color w:val="auto"/>
        </w:rPr>
        <w:t>; and</w:t>
      </w:r>
    </w:p>
    <w:p>
      <w:pPr>
        <w:spacing w:after="0" w:line="2" w:lineRule="exact"/>
        <w:rPr>
          <w:sz w:val="20"/>
          <w:szCs w:val="20"/>
          <w:color w:val="auto"/>
        </w:rPr>
      </w:pPr>
    </w:p>
    <w:p>
      <w:pPr>
        <w:ind w:left="304" w:hanging="304"/>
        <w:spacing w:after="0"/>
        <w:tabs>
          <w:tab w:leader="none" w:pos="30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abides by the terms of each of </w:t>
      </w:r>
      <w:r>
        <w:rPr>
          <w:rFonts w:ascii="Times New Roman" w:cs="Times New Roman" w:eastAsia="Times New Roman" w:hAnsi="Times New Roman"/>
          <w:sz w:val="22"/>
          <w:szCs w:val="22"/>
          <w:u w:val="single" w:color="auto"/>
          <w:color w:val="auto"/>
        </w:rPr>
        <w:t>Sections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then:</w:t>
      </w:r>
    </w:p>
    <w:p>
      <w:pPr>
        <w:spacing w:after="0" w:line="209" w:lineRule="exact"/>
        <w:rPr>
          <w:rFonts w:ascii="Times New Roman" w:cs="Times New Roman" w:eastAsia="Times New Roman" w:hAnsi="Times New Roman"/>
          <w:sz w:val="22"/>
          <w:szCs w:val="22"/>
          <w:color w:val="auto"/>
        </w:rPr>
      </w:pPr>
    </w:p>
    <w:p>
      <w:pPr>
        <w:ind w:left="2624" w:hanging="680"/>
        <w:spacing w:after="0"/>
        <w:tabs>
          <w:tab w:leader="none" w:pos="2624" w:val="left"/>
        </w:tabs>
        <w:numPr>
          <w:ilvl w:val="2"/>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make severance payments to Employee in a total amount equal to</w:t>
      </w:r>
    </w:p>
    <w:p>
      <w:pPr>
        <w:spacing w:after="0" w:line="27" w:lineRule="exact"/>
        <w:rPr>
          <w:rFonts w:ascii="Times New Roman" w:cs="Times New Roman" w:eastAsia="Times New Roman" w:hAnsi="Times New Roman"/>
          <w:sz w:val="22"/>
          <w:szCs w:val="22"/>
          <w:color w:val="010000"/>
        </w:rPr>
      </w:pPr>
    </w:p>
    <w:p>
      <w:pPr>
        <w:jc w:val="both"/>
        <w:ind w:left="644" w:firstLine="4"/>
        <w:spacing w:after="0" w:line="246" w:lineRule="auto"/>
        <w:tabs>
          <w:tab w:leader="none" w:pos="919"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twelve (12) months’ worth of Employee’s Base Salary and (ii) one (1) times the target Annual Bonus, where each are determined as of the year in which such termination occurs (such total severance payments being referred to as the “</w:t>
      </w:r>
      <w:r>
        <w:rPr>
          <w:rFonts w:ascii="Times New Roman" w:cs="Times New Roman" w:eastAsia="Times New Roman" w:hAnsi="Times New Roman"/>
          <w:sz w:val="22"/>
          <w:szCs w:val="22"/>
          <w:u w:val="single" w:color="auto"/>
          <w:color w:val="auto"/>
        </w:rPr>
        <w:t>Non-CIC Severance Payment</w:t>
      </w:r>
      <w:r>
        <w:rPr>
          <w:rFonts w:ascii="Times New Roman" w:cs="Times New Roman" w:eastAsia="Times New Roman" w:hAnsi="Times New Roman"/>
          <w:sz w:val="22"/>
          <w:szCs w:val="22"/>
          <w:color w:val="auto"/>
        </w:rPr>
        <w:t>”). The Non-CIC Severance Payment will be divided into substantially equal installments paid over the twelve (12)-month period following the Termination Date. On the Company’s first regularly scheduled pay date that is on or after the date that is sixty (60) days after the Termination Date (the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xml:space="preserve">”), the Company shall pay to Employee, without interest, a number of such installments equal to the 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such twelve (12)-month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to the extent, if any, that the aggregate amount of the installments of the Non-CIC Severance Payment that would otherwise be paid pursuant to the preceding provisions of this </w:t>
      </w:r>
      <w:r>
        <w:rPr>
          <w:rFonts w:ascii="Times New Roman" w:cs="Times New Roman" w:eastAsia="Times New Roman" w:hAnsi="Times New Roman"/>
          <w:sz w:val="22"/>
          <w:szCs w:val="22"/>
          <w:u w:val="single" w:color="auto"/>
          <w:color w:val="auto"/>
        </w:rPr>
        <w:t>Section 7(f)(i)(A)</w:t>
      </w:r>
      <w:r>
        <w:rPr>
          <w:rFonts w:ascii="Times New Roman" w:cs="Times New Roman" w:eastAsia="Times New Roman" w:hAnsi="Times New Roman"/>
          <w:sz w:val="22"/>
          <w:szCs w:val="22"/>
          <w:color w:val="auto"/>
        </w:rPr>
        <w:t xml:space="preserve"> after March 15 of the calendar year following the calendar year in which the Termination Date occurs (the “</w:t>
      </w:r>
      <w:r>
        <w:rPr>
          <w:rFonts w:ascii="Times New Roman" w:cs="Times New Roman" w:eastAsia="Times New Roman" w:hAnsi="Times New Roman"/>
          <w:sz w:val="22"/>
          <w:szCs w:val="22"/>
          <w:u w:val="single" w:color="auto"/>
          <w:color w:val="auto"/>
        </w:rPr>
        <w:t>Applicable March 15</w:t>
      </w:r>
      <w:r>
        <w:rPr>
          <w:rFonts w:ascii="Times New Roman" w:cs="Times New Roman" w:eastAsia="Times New Roman" w:hAnsi="Times New Roman"/>
          <w:sz w:val="22"/>
          <w:szCs w:val="22"/>
          <w:color w:val="auto"/>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Non-CIC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except a Saturday, Sunday or other day on which commercial banks in Houston, Texas, are authorized or required by law to be closed.</w:t>
      </w:r>
    </w:p>
    <w:p>
      <w:pPr>
        <w:spacing w:after="0" w:line="187" w:lineRule="exact"/>
        <w:rPr>
          <w:rFonts w:ascii="Times New Roman" w:cs="Times New Roman" w:eastAsia="Times New Roman" w:hAnsi="Times New Roman"/>
          <w:sz w:val="22"/>
          <w:szCs w:val="22"/>
          <w:color w:val="auto"/>
        </w:rPr>
      </w:pPr>
    </w:p>
    <w:p>
      <w:pPr>
        <w:jc w:val="both"/>
        <w:ind w:left="644" w:firstLine="1300"/>
        <w:spacing w:after="0" w:line="257" w:lineRule="auto"/>
        <w:tabs>
          <w:tab w:leader="none" w:pos="2498" w:val="left"/>
        </w:tabs>
        <w:numPr>
          <w:ilvl w:val="2"/>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pay to Employee the Prorated Target Bonus, payable in a lump sum on the Company’s first regularly scheduled pay date that is on or after the date that is sixty (60) days after the Termination Date.</w:t>
      </w:r>
    </w:p>
    <w:p>
      <w:pPr>
        <w:spacing w:after="0" w:line="172" w:lineRule="exact"/>
        <w:rPr>
          <w:rFonts w:ascii="Times New Roman" w:cs="Times New Roman" w:eastAsia="Times New Roman" w:hAnsi="Times New Roman"/>
          <w:sz w:val="22"/>
          <w:szCs w:val="22"/>
          <w:color w:val="010000"/>
        </w:rPr>
      </w:pPr>
    </w:p>
    <w:p>
      <w:pPr>
        <w:ind w:left="644" w:right="20" w:firstLine="1300"/>
        <w:spacing w:after="0" w:line="271" w:lineRule="auto"/>
        <w:tabs>
          <w:tab w:leader="none" w:pos="2660" w:val="left"/>
        </w:tabs>
        <w:numPr>
          <w:ilvl w:val="2"/>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Employee shall be eligible for the COBRA Continuation, subject to the same terms, conditions and eligibility requirements set forth in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84"/>
          </w:cols>
          <w:pgMar w:left="976" w:top="1422" w:right="339" w:bottom="1440" w:gutter="0" w:footer="0" w:header="0"/>
        </w:sectPr>
      </w:pPr>
    </w:p>
    <w:bookmarkStart w:id="90" w:name="page91"/>
    <w:bookmarkEnd w:id="90"/>
    <w:p>
      <w:pPr>
        <w:ind w:left="644" w:right="20"/>
        <w:spacing w:after="0" w:line="271" w:lineRule="auto"/>
        <w:rPr>
          <w:sz w:val="20"/>
          <w:szCs w:val="20"/>
          <w:color w:val="auto"/>
        </w:rPr>
      </w:pPr>
      <w:r>
        <w:rPr>
          <w:rFonts w:ascii="Times New Roman" w:cs="Times New Roman" w:eastAsia="Times New Roman" w:hAnsi="Times New Roman"/>
          <w:sz w:val="22"/>
          <w:szCs w:val="22"/>
          <w:color w:val="auto"/>
        </w:rPr>
        <w:t xml:space="preserve">The payments and benefits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are collectively referred to herein as the “</w:t>
      </w:r>
      <w:r>
        <w:rPr>
          <w:rFonts w:ascii="Times New Roman" w:cs="Times New Roman" w:eastAsia="Times New Roman" w:hAnsi="Times New Roman"/>
          <w:sz w:val="22"/>
          <w:szCs w:val="22"/>
          <w:u w:val="single" w:color="auto"/>
          <w:color w:val="auto"/>
        </w:rPr>
        <w:t>Non-CIC Termination Benefits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804" w:hanging="508"/>
        <w:spacing w:after="0"/>
        <w:tabs>
          <w:tab w:leader="none" w:pos="1804" w:val="left"/>
        </w:tabs>
        <w:numPr>
          <w:ilvl w:val="1"/>
          <w:numId w:val="1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Within a Change in Control Period</w:t>
      </w:r>
      <w:r>
        <w:rPr>
          <w:rFonts w:ascii="Times New Roman" w:cs="Times New Roman" w:eastAsia="Times New Roman" w:hAnsi="Times New Roman"/>
          <w:sz w:val="21"/>
          <w:szCs w:val="21"/>
          <w:color w:val="auto"/>
        </w:rPr>
        <w:t>. If Employee’s employment hereunder is terminated</w:t>
      </w:r>
    </w:p>
    <w:p>
      <w:pPr>
        <w:spacing w:after="0" w:line="40" w:lineRule="exact"/>
        <w:rPr>
          <w:rFonts w:ascii="Times New Roman" w:cs="Times New Roman" w:eastAsia="Times New Roman" w:hAnsi="Times New Roman"/>
          <w:sz w:val="21"/>
          <w:szCs w:val="21"/>
          <w:color w:val="010000"/>
        </w:rPr>
      </w:pPr>
    </w:p>
    <w:p>
      <w:pPr>
        <w:jc w:val="both"/>
        <w:ind w:left="4" w:hanging="4"/>
        <w:spacing w:after="0" w:line="259" w:lineRule="auto"/>
        <w:tabs>
          <w:tab w:leader="none" w:pos="361"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Company without Cause (including as a result of a non-renewal of the Term or any extension thereof)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or is terminated by Employee for Good Reason pursuant to </w:t>
      </w:r>
      <w:r>
        <w:rPr>
          <w:rFonts w:ascii="Times New Roman" w:cs="Times New Roman" w:eastAsia="Times New Roman" w:hAnsi="Times New Roman"/>
          <w:sz w:val="21"/>
          <w:szCs w:val="21"/>
          <w:u w:val="single" w:color="auto"/>
          <w:color w:val="auto"/>
        </w:rPr>
        <w:t>Section 7(c)</w:t>
      </w:r>
      <w:r>
        <w:rPr>
          <w:rFonts w:ascii="Times New Roman" w:cs="Times New Roman" w:eastAsia="Times New Roman" w:hAnsi="Times New Roman"/>
          <w:sz w:val="21"/>
          <w:szCs w:val="21"/>
          <w:color w:val="auto"/>
        </w:rPr>
        <w:t xml:space="preserve"> and (B) the Termination Date is within the Change in Control Period, then the Company shall pay Employee the Accrued Benefits and any Prior Year Bonus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and does not revoke within any time provided by the Company to do so, the Release,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Times New Roman" w:cs="Times New Roman" w:eastAsia="Times New Roman" w:hAnsi="Times New Roman"/>
          <w:sz w:val="21"/>
          <w:szCs w:val="21"/>
          <w:u w:val="single" w:color="auto"/>
          <w:color w:val="auto"/>
        </w:rPr>
        <w:t>Section 7(f)(ii)</w:t>
      </w:r>
      <w:r>
        <w:rPr>
          <w:rFonts w:ascii="Times New Roman" w:cs="Times New Roman" w:eastAsia="Times New Roman" w:hAnsi="Times New Roman"/>
          <w:sz w:val="21"/>
          <w:szCs w:val="21"/>
          <w:color w:val="auto"/>
        </w:rPr>
        <w:t xml:space="preserve">; and (y) abides by the terms of each of </w:t>
      </w:r>
      <w:r>
        <w:rPr>
          <w:rFonts w:ascii="Times New Roman" w:cs="Times New Roman" w:eastAsia="Times New Roman" w:hAnsi="Times New Roman"/>
          <w:sz w:val="21"/>
          <w:szCs w:val="21"/>
          <w:u w:val="single" w:color="auto"/>
          <w:color w:val="auto"/>
        </w:rPr>
        <w:t>Sections 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then:</w:t>
      </w:r>
    </w:p>
    <w:p>
      <w:pPr>
        <w:spacing w:after="0" w:line="181" w:lineRule="exact"/>
        <w:rPr>
          <w:rFonts w:ascii="Times New Roman" w:cs="Times New Roman" w:eastAsia="Times New Roman" w:hAnsi="Times New Roman"/>
          <w:sz w:val="21"/>
          <w:szCs w:val="21"/>
          <w:color w:val="auto"/>
        </w:rPr>
      </w:pPr>
    </w:p>
    <w:p>
      <w:pPr>
        <w:jc w:val="both"/>
        <w:ind w:left="644" w:firstLine="1300"/>
        <w:spacing w:after="0" w:line="253" w:lineRule="auto"/>
        <w:tabs>
          <w:tab w:leader="none" w:pos="2483" w:val="left"/>
        </w:tabs>
        <w:numPr>
          <w:ilvl w:val="2"/>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make a lump sum payment to Employee equal to the product of two and ninety-nine hundredths (2.99) times the sum of (I) twelve (12) months’ of Employee’s Base Salary and (II) the target Annual Bonus, where each are determined as of the year in which such termination occurs, with such lump sum payable on the Company’s first regularly scheduled pay date that is on or after the date that is sixty (60) days after the Termination Date.</w:t>
      </w:r>
    </w:p>
    <w:p>
      <w:pPr>
        <w:spacing w:after="0" w:line="178" w:lineRule="exact"/>
        <w:rPr>
          <w:rFonts w:ascii="Times New Roman" w:cs="Times New Roman" w:eastAsia="Times New Roman" w:hAnsi="Times New Roman"/>
          <w:sz w:val="22"/>
          <w:szCs w:val="22"/>
          <w:color w:val="010000"/>
        </w:rPr>
      </w:pPr>
    </w:p>
    <w:p>
      <w:pPr>
        <w:jc w:val="both"/>
        <w:ind w:left="644" w:firstLine="1300"/>
        <w:spacing w:after="0" w:line="257" w:lineRule="auto"/>
        <w:tabs>
          <w:tab w:leader="none" w:pos="2498" w:val="left"/>
        </w:tabs>
        <w:numPr>
          <w:ilvl w:val="2"/>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pay to Employee the Prorated Target Bonus, payable in a lump sum on the Company’s first regularly scheduled pay date that is on or after the date that is sixty (60) days after the Termination Date.</w:t>
      </w:r>
    </w:p>
    <w:p>
      <w:pPr>
        <w:spacing w:after="0" w:line="172" w:lineRule="exact"/>
        <w:rPr>
          <w:rFonts w:ascii="Times New Roman" w:cs="Times New Roman" w:eastAsia="Times New Roman" w:hAnsi="Times New Roman"/>
          <w:sz w:val="22"/>
          <w:szCs w:val="22"/>
          <w:color w:val="010000"/>
        </w:rPr>
      </w:pPr>
    </w:p>
    <w:p>
      <w:pPr>
        <w:jc w:val="both"/>
        <w:ind w:left="644" w:firstLine="1300"/>
        <w:spacing w:after="0" w:line="268" w:lineRule="auto"/>
        <w:tabs>
          <w:tab w:leader="none" w:pos="2660" w:val="left"/>
        </w:tabs>
        <w:numPr>
          <w:ilvl w:val="2"/>
          <w:numId w:val="1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Employee shall be eligible for the COBRA Continuation, subject to the same terms, conditions and eligibility requirements set forth in </w:t>
      </w:r>
      <w:r>
        <w:rPr>
          <w:rFonts w:ascii="Times New Roman" w:cs="Times New Roman" w:eastAsia="Times New Roman" w:hAnsi="Times New Roman"/>
          <w:sz w:val="21"/>
          <w:szCs w:val="21"/>
          <w:u w:val="single" w:color="auto"/>
          <w:color w:val="auto"/>
        </w:rPr>
        <w:t>Section 7(d)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COBRA Continuation will be provided at a monthly rate that is no greater than the monthly premium payable by Employee for coverage under the Company’s group health plan covering Employee and Employee’s eligible dependents as of immediately prior to the Termination Date, with any cost in excess of such amount being paid or reimbursed by the Company.</w:t>
      </w:r>
    </w:p>
    <w:p>
      <w:pPr>
        <w:spacing w:after="0" w:line="164" w:lineRule="exact"/>
        <w:rPr>
          <w:sz w:val="20"/>
          <w:szCs w:val="20"/>
          <w:color w:val="auto"/>
        </w:rPr>
      </w:pPr>
    </w:p>
    <w:p>
      <w:pPr>
        <w:ind w:left="644" w:right="20"/>
        <w:spacing w:after="0" w:line="271" w:lineRule="auto"/>
        <w:rPr>
          <w:sz w:val="20"/>
          <w:szCs w:val="20"/>
          <w:color w:val="auto"/>
        </w:rPr>
      </w:pPr>
      <w:r>
        <w:rPr>
          <w:rFonts w:ascii="Times New Roman" w:cs="Times New Roman" w:eastAsia="Times New Roman" w:hAnsi="Times New Roman"/>
          <w:sz w:val="22"/>
          <w:szCs w:val="22"/>
          <w:color w:val="auto"/>
        </w:rPr>
        <w:t xml:space="preserve">The payments and benefits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are collectively referred to herein as the “</w:t>
      </w:r>
      <w:r>
        <w:rPr>
          <w:rFonts w:ascii="Times New Roman" w:cs="Times New Roman" w:eastAsia="Times New Roman" w:hAnsi="Times New Roman"/>
          <w:sz w:val="22"/>
          <w:szCs w:val="22"/>
          <w:u w:val="single" w:color="auto"/>
          <w:color w:val="auto"/>
        </w:rPr>
        <w:t>CIC Termination Benefits</w:t>
      </w:r>
      <w:r>
        <w:rPr>
          <w:rFonts w:ascii="Times New Roman" w:cs="Times New Roman" w:eastAsia="Times New Roman" w:hAnsi="Times New Roman"/>
          <w:sz w:val="22"/>
          <w:szCs w:val="22"/>
          <w:color w:val="auto"/>
        </w:rPr>
        <w:t>” (and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84"/>
          </w:cols>
          <w:pgMar w:left="976" w:top="1422" w:right="339" w:bottom="1440" w:gutter="0" w:footer="0" w:header="0"/>
        </w:sectPr>
      </w:pPr>
    </w:p>
    <w:bookmarkStart w:id="91" w:name="page92"/>
    <w:bookmarkEnd w:id="91"/>
    <w:p>
      <w:pPr>
        <w:ind w:left="1300"/>
        <w:spacing w:after="0"/>
        <w:rPr>
          <w:sz w:val="20"/>
          <w:szCs w:val="20"/>
          <w:color w:val="auto"/>
        </w:rPr>
      </w:pPr>
      <w:r>
        <w:rPr>
          <w:rFonts w:ascii="Times New Roman" w:cs="Times New Roman" w:eastAsia="Times New Roman" w:hAnsi="Times New Roman"/>
          <w:sz w:val="22"/>
          <w:szCs w:val="22"/>
          <w:color w:val="auto"/>
        </w:rPr>
        <w:t>with the Non-CIC Termination Benefits, as applicable, the “</w:t>
      </w:r>
      <w:r>
        <w:rPr>
          <w:rFonts w:ascii="Times New Roman" w:cs="Times New Roman" w:eastAsia="Times New Roman" w:hAnsi="Times New Roman"/>
          <w:sz w:val="22"/>
          <w:szCs w:val="22"/>
          <w:u w:val="single" w:color="auto"/>
          <w:color w:val="auto"/>
        </w:rPr>
        <w:t>Termination Benefits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1292"/>
        <w:spacing w:after="0" w:line="250" w:lineRule="auto"/>
        <w:tabs>
          <w:tab w:leader="none" w:pos="2496" w:val="left"/>
        </w:tabs>
        <w:numPr>
          <w:ilvl w:val="2"/>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Release is not executed and returned to the Company on or before the Release Expiration Date, and the required revocation period has not fully expired without revocation of the Release by Employee, then Employee shall not be entitled to any portion of the applicable Termination Benefits. As used herein, the “</w:t>
      </w:r>
      <w:r>
        <w:rPr>
          <w:rFonts w:ascii="Times New Roman" w:cs="Times New Roman" w:eastAsia="Times New Roman" w:hAnsi="Times New Roman"/>
          <w:sz w:val="22"/>
          <w:szCs w:val="22"/>
          <w:u w:val="single" w:color="auto"/>
          <w:color w:val="auto"/>
        </w:rPr>
        <w:t>Release Expiration Date</w:t>
      </w:r>
      <w:r>
        <w:rPr>
          <w:rFonts w:ascii="Times New Roman" w:cs="Times New Roman" w:eastAsia="Times New Roman" w:hAnsi="Times New Roman"/>
          <w:sz w:val="22"/>
          <w:szCs w:val="22"/>
          <w:color w:val="auto"/>
        </w:rPr>
        <w:t>” 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spacing w:after="0" w:line="186"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777" w:val="left"/>
        </w:tabs>
        <w:numPr>
          <w:ilvl w:val="1"/>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After-Acquired Evidence</w:t>
      </w:r>
      <w:r>
        <w:rPr>
          <w:rFonts w:ascii="Times New Roman" w:cs="Times New Roman" w:eastAsia="Times New Roman" w:hAnsi="Times New Roman"/>
          <w:sz w:val="22"/>
          <w:szCs w:val="22"/>
          <w:color w:val="auto"/>
        </w:rPr>
        <w:t xml:space="preserve">. Notwithstanding any provision of this Agreement to the contrary, in the event that the Company determines, in good faith, that Employee is eligible to receive Termination Benefits pursuant to </w:t>
      </w:r>
      <w:r>
        <w:rPr>
          <w:rFonts w:ascii="Times New Roman" w:cs="Times New Roman" w:eastAsia="Times New Roman" w:hAnsi="Times New Roman"/>
          <w:sz w:val="22"/>
          <w:szCs w:val="22"/>
          <w:u w:val="single" w:color="auto"/>
          <w:color w:val="auto"/>
        </w:rPr>
        <w:t>Section 7(f)</w:t>
      </w:r>
      <w:r>
        <w:rPr>
          <w:rFonts w:ascii="Times New Roman" w:cs="Times New Roman" w:eastAsia="Times New Roman" w:hAnsi="Times New Roman"/>
          <w:sz w:val="22"/>
          <w:szCs w:val="22"/>
          <w:color w:val="auto"/>
        </w:rPr>
        <w:t xml:space="preserve"> but, after such determination, the Company subsequently acquires evidence or determines that: (i) Employee has failed to abide by the terms of </w:t>
      </w:r>
      <w:r>
        <w:rPr>
          <w:rFonts w:ascii="Times New Roman" w:cs="Times New Roman" w:eastAsia="Times New Roman" w:hAnsi="Times New Roman"/>
          <w:sz w:val="22"/>
          <w:szCs w:val="22"/>
          <w:u w:val="single" w:color="auto"/>
          <w:color w:val="auto"/>
        </w:rPr>
        <w:t>Sections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or (ii) a Cause condition existed prior to the Termination Date that, had the Company been fully aware of such condition, would have given the Company the right to terminate Employee’s employment pursuant to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have been satisfied. In addition, the provisions of the last sentence of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shall apply, and, subject to any limitation under applicable law, previously paid compensation pursuant to </w:t>
      </w:r>
      <w:r>
        <w:rPr>
          <w:rFonts w:ascii="Times New Roman" w:cs="Times New Roman" w:eastAsia="Times New Roman" w:hAnsi="Times New Roman"/>
          <w:sz w:val="22"/>
          <w:szCs w:val="22"/>
          <w:u w:val="single" w:color="auto"/>
          <w:color w:val="auto"/>
        </w:rPr>
        <w:t>Sections 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3(c)</w:t>
      </w:r>
      <w:r>
        <w:rPr>
          <w:rFonts w:ascii="Times New Roman" w:cs="Times New Roman" w:eastAsia="Times New Roman" w:hAnsi="Times New Roman"/>
          <w:sz w:val="22"/>
          <w:szCs w:val="22"/>
          <w:color w:val="auto"/>
        </w:rPr>
        <w:t xml:space="preserve"> shall be subject to clawback or forfeiture and cancellation at the discretion of the Compensation Committee in the event Employee fails to abide by the terms of </w:t>
      </w:r>
      <w:r>
        <w:rPr>
          <w:rFonts w:ascii="Times New Roman" w:cs="Times New Roman" w:eastAsia="Times New Roman" w:hAnsi="Times New Roman"/>
          <w:sz w:val="22"/>
          <w:szCs w:val="22"/>
          <w:u w:val="single" w:color="auto"/>
          <w:color w:val="auto"/>
        </w:rPr>
        <w:t>Sections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010000"/>
        </w:rPr>
      </w:pPr>
    </w:p>
    <w:p>
      <w:pPr>
        <w:jc w:val="both"/>
        <w:ind w:firstLine="656"/>
        <w:spacing w:after="0" w:line="252" w:lineRule="auto"/>
        <w:tabs>
          <w:tab w:leader="none" w:pos="1053"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Disclosures</w:t>
      </w:r>
      <w:r>
        <w:rPr>
          <w:rFonts w:ascii="Times New Roman" w:cs="Times New Roman" w:eastAsia="Times New Roman" w:hAnsi="Times New Roman"/>
          <w:sz w:val="22"/>
          <w:szCs w:val="22"/>
          <w:color w:val="auto"/>
        </w:rPr>
        <w:t>. Promptly (and in any event, within three (3) Business Days) upon becoming aware of (a) any actual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Times New Roman" w:cs="Times New Roman" w:eastAsia="Times New Roman" w:hAnsi="Times New Roman"/>
          <w:sz w:val="22"/>
          <w:szCs w:val="22"/>
          <w:u w:val="single" w:color="auto"/>
          <w:color w:val="auto"/>
        </w:rPr>
        <w:t>Conflict of Interest</w:t>
      </w:r>
      <w:r>
        <w:rPr>
          <w:rFonts w:ascii="Times New Roman" w:cs="Times New Roman" w:eastAsia="Times New Roman" w:hAnsi="Times New Roman"/>
          <w:sz w:val="22"/>
          <w:szCs w:val="22"/>
          <w:color w:val="auto"/>
        </w:rPr>
        <w:t>” shall exist when Employee engages in, or plans to engage in, any activities, associations, or interests that conflict with, or create an appearance of a conflict with, Employee’s duties, responsibilities, authorities, or obligations for or to any member of the Company Group.</w:t>
      </w:r>
    </w:p>
    <w:p>
      <w:pPr>
        <w:spacing w:after="0" w:line="174" w:lineRule="exact"/>
        <w:rPr>
          <w:rFonts w:ascii="Times New Roman" w:cs="Times New Roman" w:eastAsia="Times New Roman" w:hAnsi="Times New Roman"/>
          <w:sz w:val="22"/>
          <w:szCs w:val="22"/>
          <w:color w:val="010000"/>
        </w:rPr>
      </w:pPr>
    </w:p>
    <w:p>
      <w:pPr>
        <w:jc w:val="both"/>
        <w:ind w:firstLine="656"/>
        <w:spacing w:after="0" w:line="254" w:lineRule="auto"/>
        <w:tabs>
          <w:tab w:leader="none" w:pos="1093"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In the course of Employee’s employment with the Company and the performance of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92" w:name="page93"/>
    <w:bookmarkEnd w:id="92"/>
    <w:p>
      <w:pPr>
        <w:jc w:val="both"/>
        <w:ind w:firstLine="1304"/>
        <w:spacing w:after="0" w:line="250" w:lineRule="auto"/>
        <w:tabs>
          <w:tab w:leader="none" w:pos="1765"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9(e)</w:t>
      </w:r>
      <w:r>
        <w:rPr>
          <w:rFonts w:ascii="Times New Roman" w:cs="Times New Roman" w:eastAsia="Times New Roman" w:hAnsi="Times New Roman"/>
          <w:sz w:val="22"/>
          <w:szCs w:val="22"/>
          <w:color w:val="auto"/>
        </w:rPr>
        <w:t xml:space="preserve">, both during the Employment Period and thereafter, except as expressly permitted by this Agreement or by directive of the Board, for the benefit of the Company Group, or while acting in the course and scope of his employment, Employee shall not disclose any Confidential Information to any person or entity and shall not use any Confidential Information. Employee shall follow all Company policies and protocols regarding the security of all documents and other materials containing Confidential Information to the extent such policies have been clearly communicated in writing or made available to Employee (regardless of the medium on which Confidential Information is stored). The covenants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9(a)</w:t>
      </w:r>
      <w:r>
        <w:rPr>
          <w:rFonts w:ascii="Times New Roman" w:cs="Times New Roman" w:eastAsia="Times New Roman" w:hAnsi="Times New Roman"/>
          <w:sz w:val="22"/>
          <w:szCs w:val="22"/>
          <w:color w:val="auto"/>
        </w:rPr>
        <w:t xml:space="preserve"> shall apply to all Confidential Information, whether now known or later to become known to Employee during the period that Employee is employed by or affiliated with or providing services to the Company or any other member of the Company Group.</w:t>
      </w:r>
    </w:p>
    <w:p>
      <w:pPr>
        <w:spacing w:after="0" w:line="179" w:lineRule="exact"/>
        <w:rPr>
          <w:rFonts w:ascii="Times New Roman" w:cs="Times New Roman" w:eastAsia="Times New Roman" w:hAnsi="Times New Roman"/>
          <w:sz w:val="22"/>
          <w:szCs w:val="22"/>
          <w:color w:val="010000"/>
        </w:rPr>
      </w:pPr>
    </w:p>
    <w:p>
      <w:pPr>
        <w:ind w:right="20" w:firstLine="1304"/>
        <w:spacing w:after="0" w:line="271" w:lineRule="auto"/>
        <w:tabs>
          <w:tab w:leader="none" w:pos="1993"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 provision of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xml:space="preserve"> to the contrary, Employee may make the following disclosures and uses of Confidential Information:</w:t>
      </w:r>
    </w:p>
    <w:p>
      <w:pPr>
        <w:spacing w:after="0" w:line="157" w:lineRule="exact"/>
        <w:rPr>
          <w:rFonts w:ascii="Times New Roman" w:cs="Times New Roman" w:eastAsia="Times New Roman" w:hAnsi="Times New Roman"/>
          <w:sz w:val="22"/>
          <w:szCs w:val="22"/>
          <w:color w:val="010000"/>
        </w:rPr>
      </w:pPr>
    </w:p>
    <w:p>
      <w:pPr>
        <w:ind w:left="660" w:firstLine="1292"/>
        <w:spacing w:after="0" w:line="271" w:lineRule="auto"/>
        <w:tabs>
          <w:tab w:leader="none" w:pos="2457" w:val="left"/>
        </w:tabs>
        <w:numPr>
          <w:ilvl w:val="1"/>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to other employees of a member of the Company Group who have a need to know the information in connection with the businesses of the Company Group;</w:t>
      </w:r>
    </w:p>
    <w:p>
      <w:pPr>
        <w:spacing w:after="0" w:line="157" w:lineRule="exact"/>
        <w:rPr>
          <w:rFonts w:ascii="Times New Roman" w:cs="Times New Roman" w:eastAsia="Times New Roman" w:hAnsi="Times New Roman"/>
          <w:sz w:val="22"/>
          <w:szCs w:val="22"/>
          <w:color w:val="010000"/>
        </w:rPr>
      </w:pPr>
    </w:p>
    <w:p>
      <w:pPr>
        <w:jc w:val="both"/>
        <w:ind w:left="660" w:firstLine="1292"/>
        <w:spacing w:after="0" w:line="263" w:lineRule="auto"/>
        <w:tabs>
          <w:tab w:leader="none" w:pos="2638" w:val="left"/>
        </w:tabs>
        <w:numPr>
          <w:ilvl w:val="1"/>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to third parties when, in the reasonable and good faith belief of Employee, such disclosure is in connection with Employee’s performance of Employee’s duties under this Agreement and in the best interest of the Company Group;</w:t>
      </w:r>
    </w:p>
    <w:p>
      <w:pPr>
        <w:spacing w:after="0" w:line="167" w:lineRule="exact"/>
        <w:rPr>
          <w:rFonts w:ascii="Times New Roman" w:cs="Times New Roman" w:eastAsia="Times New Roman" w:hAnsi="Times New Roman"/>
          <w:sz w:val="22"/>
          <w:szCs w:val="22"/>
          <w:color w:val="010000"/>
        </w:rPr>
      </w:pPr>
    </w:p>
    <w:p>
      <w:pPr>
        <w:ind w:left="2500" w:hanging="548"/>
        <w:spacing w:after="0"/>
        <w:tabs>
          <w:tab w:leader="none" w:pos="2500" w:val="left"/>
        </w:tabs>
        <w:numPr>
          <w:ilvl w:val="1"/>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and uses that are approved in writing by the Board; or</w:t>
      </w:r>
    </w:p>
    <w:p>
      <w:pPr>
        <w:spacing w:after="0" w:line="219" w:lineRule="exact"/>
        <w:rPr>
          <w:rFonts w:ascii="Times New Roman" w:cs="Times New Roman" w:eastAsia="Times New Roman" w:hAnsi="Times New Roman"/>
          <w:sz w:val="22"/>
          <w:szCs w:val="22"/>
          <w:color w:val="010000"/>
        </w:rPr>
      </w:pPr>
    </w:p>
    <w:p>
      <w:pPr>
        <w:jc w:val="both"/>
        <w:ind w:left="660" w:firstLine="1292"/>
        <w:spacing w:after="0" w:line="263" w:lineRule="auto"/>
        <w:tabs>
          <w:tab w:leader="none" w:pos="2538" w:val="left"/>
        </w:tabs>
        <w:numPr>
          <w:ilvl w:val="1"/>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disclosures to a person or entity that has (x) been retained by a member of the Company Group to provide services to one or more members of the Company Group and (y) agreed in writing to abide by the terms of a confidentiality agreement.</w:t>
      </w:r>
    </w:p>
    <w:p>
      <w:pPr>
        <w:spacing w:after="0" w:line="167"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914"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spacing w:after="0" w:line="180" w:lineRule="exact"/>
        <w:rPr>
          <w:rFonts w:ascii="Times New Roman" w:cs="Times New Roman" w:eastAsia="Times New Roman" w:hAnsi="Times New Roman"/>
          <w:sz w:val="22"/>
          <w:szCs w:val="22"/>
          <w:color w:val="010000"/>
        </w:rPr>
      </w:pPr>
    </w:p>
    <w:p>
      <w:pPr>
        <w:jc w:val="both"/>
        <w:ind w:firstLine="1304"/>
        <w:spacing w:after="0" w:line="253" w:lineRule="auto"/>
        <w:tabs>
          <w:tab w:leader="none" w:pos="1858"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93" w:name="page94"/>
    <w:bookmarkEnd w:id="93"/>
    <w:p>
      <w:pPr>
        <w:jc w:val="both"/>
        <w:spacing w:after="0" w:line="260" w:lineRule="auto"/>
        <w:rPr>
          <w:sz w:val="20"/>
          <w:szCs w:val="20"/>
          <w:color w:val="auto"/>
        </w:rPr>
      </w:pPr>
      <w:r>
        <w:rPr>
          <w:rFonts w:ascii="Times New Roman" w:cs="Times New Roman" w:eastAsia="Times New Roman" w:hAnsi="Times New Roman"/>
          <w:sz w:val="21"/>
          <w:szCs w:val="21"/>
          <w:color w:val="auto"/>
        </w:rPr>
        <w:t>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such source is not bound by a confidentiality agreement with, or other obligation with respect to confidentiality to, a member of the Company Group.</w:t>
      </w:r>
    </w:p>
    <w:p>
      <w:pPr>
        <w:spacing w:after="0" w:line="175" w:lineRule="exact"/>
        <w:rPr>
          <w:sz w:val="20"/>
          <w:szCs w:val="20"/>
          <w:color w:val="auto"/>
        </w:rPr>
      </w:pPr>
    </w:p>
    <w:p>
      <w:pPr>
        <w:ind w:left="1780" w:hanging="476"/>
        <w:spacing w:after="0"/>
        <w:tabs>
          <w:tab w:leader="none" w:pos="1780" w:val="left"/>
        </w:tabs>
        <w:numPr>
          <w:ilvl w:val="1"/>
          <w:numId w:val="1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the foregoing, nothing in this Agreement shall prohibit or restrict Employee from lawfully:</w:t>
      </w:r>
    </w:p>
    <w:p>
      <w:pPr>
        <w:spacing w:after="0" w:line="39" w:lineRule="exact"/>
        <w:rPr>
          <w:rFonts w:ascii="Times New Roman" w:cs="Times New Roman" w:eastAsia="Times New Roman" w:hAnsi="Times New Roman"/>
          <w:sz w:val="21"/>
          <w:szCs w:val="21"/>
          <w:color w:val="010000"/>
        </w:rPr>
      </w:pPr>
    </w:p>
    <w:p>
      <w:pPr>
        <w:jc w:val="both"/>
        <w:ind w:firstLine="8"/>
        <w:spacing w:after="0" w:line="259" w:lineRule="auto"/>
        <w:tabs>
          <w:tab w:leader="none" w:pos="264"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initiating communications directly with, cooperating with, providing information to, causing information to be provided to, or otherwise assisting in an investigation by, any governmental or regulatory agency, entity, official or authority regarding a possible violation of any law; (ii) responding to any inquiry or legal process directed to Employee from any such governmental authority;</w:t>
      </w:r>
    </w:p>
    <w:p>
      <w:pPr>
        <w:spacing w:after="0" w:line="1" w:lineRule="exact"/>
        <w:rPr>
          <w:rFonts w:ascii="Times New Roman" w:cs="Times New Roman" w:eastAsia="Times New Roman" w:hAnsi="Times New Roman"/>
          <w:sz w:val="21"/>
          <w:szCs w:val="21"/>
          <w:color w:val="auto"/>
        </w:rPr>
      </w:pPr>
    </w:p>
    <w:p>
      <w:pPr>
        <w:jc w:val="both"/>
        <w:ind w:firstLine="8"/>
        <w:spacing w:after="0" w:line="257" w:lineRule="auto"/>
        <w:tabs>
          <w:tab w:leader="none" w:pos="391"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testifying, participating or otherwise assisting in any action or proceeding by any such governmental authority relating to a possible violation of law; or (iv) making any other disclosures that are protected under the whistleblower provisions of any applicable law. Nothing in this Agreement shall be interpreted to prohibit or restrict Employee to disclose an act of sexual abuse or facts related to an act of sexual abuse. Additionally, pursuant to the federal Defend Trade Secrets Act of 2016, an individual shall not be held criminally or civilly liable under any federal or state trade secret law for the disclosure of a trade secret that:</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is made (1) in confidence to a federal, state or local government official, either directly or indirectly, or to an attorney and</w:t>
      </w:r>
    </w:p>
    <w:p>
      <w:pPr>
        <w:spacing w:after="0" w:line="3" w:lineRule="exact"/>
        <w:rPr>
          <w:rFonts w:ascii="Times New Roman" w:cs="Times New Roman" w:eastAsia="Times New Roman" w:hAnsi="Times New Roman"/>
          <w:sz w:val="21"/>
          <w:szCs w:val="21"/>
          <w:color w:val="auto"/>
        </w:rPr>
      </w:pPr>
    </w:p>
    <w:p>
      <w:pPr>
        <w:jc w:val="both"/>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94" w:name="page95"/>
    <w:bookmarkEnd w:id="94"/>
    <w:p>
      <w:pPr>
        <w:jc w:val="both"/>
        <w:ind w:firstLine="656"/>
        <w:spacing w:after="0" w:line="263" w:lineRule="auto"/>
        <w:tabs>
          <w:tab w:leader="none" w:pos="1242" w:val="left"/>
        </w:tabs>
        <w:numPr>
          <w:ilvl w:val="1"/>
          <w:numId w:val="1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Non-Competition; Non-Solicitation</w:t>
      </w:r>
      <w:r>
        <w:rPr>
          <w:rFonts w:ascii="Times New Roman" w:cs="Times New Roman" w:eastAsia="Times New Roman" w:hAnsi="Times New Roman"/>
          <w:sz w:val="21"/>
          <w:szCs w:val="21"/>
          <w:color w:val="auto"/>
        </w:rPr>
        <w:t>. Employee acknowledges that (i) Employee performs services of a unique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nature for the Company Group that are irreplaceable, and that Employee’s performance of such services to a competing business will result in irreparable harm to the Company Group, (ii) Employee has had and will continue to have access to Confidential Information which, if disclosed, would unfairly and inappropriately assist in competition against the Company Group, (iii) in the course of Employee’s employment by a competitor, Employee would inevitably use or disclose such Confidential Information,</w:t>
      </w:r>
    </w:p>
    <w:p>
      <w:pPr>
        <w:jc w:val="both"/>
        <w:ind w:firstLine="8"/>
        <w:spacing w:after="0" w:line="247" w:lineRule="auto"/>
        <w:tabs>
          <w:tab w:leader="none" w:pos="39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has substantial relationships with their Customers and Employee has had and will continue to have access to these Customers, (v) Employee has received and will receive specialized training from the Company Group, and (vi) Employee has generated and will continue to generate goodwill for the Company Group in the course of Employee’s employment. Accordingly, Employee agrees that for the duration of Employee’s employment and for one (1) year thereafter, Employee shall not, directly or indirectly:</w:t>
      </w:r>
    </w:p>
    <w:p>
      <w:pPr>
        <w:spacing w:after="0" w:line="186" w:lineRule="exact"/>
        <w:rPr>
          <w:rFonts w:ascii="Times New Roman" w:cs="Times New Roman" w:eastAsia="Times New Roman" w:hAnsi="Times New Roman"/>
          <w:sz w:val="22"/>
          <w:szCs w:val="22"/>
          <w:color w:val="auto"/>
        </w:rPr>
      </w:pPr>
    </w:p>
    <w:p>
      <w:pPr>
        <w:jc w:val="both"/>
        <w:ind w:firstLine="1304"/>
        <w:spacing w:after="0" w:line="246" w:lineRule="auto"/>
        <w:tabs>
          <w:tab w:leader="none" w:pos="1765" w:val="left"/>
        </w:tabs>
        <w:numPr>
          <w:ilvl w:val="2"/>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own, manage, operate, control, be employed by (whether as an employee, consultant, independent contractor or otherwise, and whether or not for compensation) or render services to any person, firm, corporation or other entity, in whatever form, engaged in competition with the Company Group on the Termination Date, which includes the business of merchant power production, including nuclear power generation, or any business material to the Company Group which the Company Group has taken substantial steps to engage in, on or prior to such date in the Pennsylvania-New Jersey-Maryland Interconnection region (as determined by the Federal Energy Regulatory Commission), Montana or any other geographic region in the United States where the Company Group conducts or has taken substantial steps to conduct business prior to the Termination Date and in which Employee had material responsibilities or made actual contact (whether in person, virtual, or by email, text, or phone) between Employee and a customer or prospective customer with whom Employee dealt on behalf of the Company Group or whose dealings with the Company Group were coordinated or supervised by Employee, or who received any product or service from the Company Group that resulted in payment of compensation to Employee, or about whom Employee obtained Confidential Information as a result of Employee’s employment with or service to the Company Group. Notwithstanding the foregoing, nothing herein shall prohibit Employee from being a passive owner of not more than three percent (3%) of the equity securities of a publicly traded corporation engaged in a business that is in competition with the Company Group, so long as Employee has no active participation in the business of such corporation. Nothing in this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shall prohibit Employee from being employed or engaged by any Person where such work would not involve any level of strategic, advisory, technical, creative, sales, or other activity similar to that which Employee provided to the Company Group (acknowledging that Employee’s role requires Employee to engage in strategic, managerial, and business development activity), or is in connection with an independent business line of such Person that is wholly unrelated to the business of the Company Group and Confidential Information (subject to protocols to prevent Employee from disclosing Confidential Information). In addition, the provisions of this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shall not be violated by Employee commencing employment with a subsidiary, division or unit of any entity that engages in a business in competition with the Company Group so long as Employee and such subsidiary, division or unit does not engage in a business in competition with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18" w:right="339" w:bottom="1440" w:gutter="0" w:footer="0" w:header="0"/>
        </w:sectPr>
      </w:pPr>
    </w:p>
    <w:bookmarkStart w:id="95" w:name="page96"/>
    <w:bookmarkEnd w:id="95"/>
    <w:p>
      <w:pPr>
        <w:jc w:val="both"/>
        <w:ind w:firstLine="1304"/>
        <w:spacing w:after="0" w:line="248" w:lineRule="auto"/>
        <w:tabs>
          <w:tab w:leader="none" w:pos="1804"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solicit, induce or attempt to induce any person who was, as of the Termination Date, an employee, agent or individual retained as an independent contractor of the Company or any member of the Company Group and with whom Employee had contact during the Employee’s employment with or service to the Company Group or who otherwise worked in the same department as the Employee (“</w:t>
      </w:r>
      <w:r>
        <w:rPr>
          <w:rFonts w:ascii="Times New Roman" w:cs="Times New Roman" w:eastAsia="Times New Roman" w:hAnsi="Times New Roman"/>
          <w:sz w:val="22"/>
          <w:szCs w:val="22"/>
          <w:u w:val="single" w:color="auto"/>
          <w:color w:val="auto"/>
        </w:rPr>
        <w:t>Covered Individuals</w:t>
      </w:r>
      <w:r>
        <w:rPr>
          <w:rFonts w:ascii="Times New Roman" w:cs="Times New Roman" w:eastAsia="Times New Roman" w:hAnsi="Times New Roman"/>
          <w:sz w:val="22"/>
          <w:szCs w:val="22"/>
          <w:color w:val="auto"/>
        </w:rPr>
        <w:t xml:space="preserve">”), to terminate his or her employment or contracting relationship with the Company Group, or to become an employee or independent contractor of any other Person or hire or retain any such employee, agent or individual, or take any action to materially assist or aid any other Person in identifying, hiring or soliciting any such employee, agent or individual (any employee, agent or individual retained as an independent contractor of the Company Group shall be deemed covered by this </w:t>
      </w:r>
      <w:r>
        <w:rPr>
          <w:rFonts w:ascii="Times New Roman" w:cs="Times New Roman" w:eastAsia="Times New Roman" w:hAnsi="Times New Roman"/>
          <w:sz w:val="22"/>
          <w:szCs w:val="22"/>
          <w:u w:val="single" w:color="auto"/>
          <w:color w:val="auto"/>
        </w:rPr>
        <w:t>Section 10(b)</w:t>
      </w:r>
      <w:r>
        <w:rPr>
          <w:rFonts w:ascii="Times New Roman" w:cs="Times New Roman" w:eastAsia="Times New Roman" w:hAnsi="Times New Roman"/>
          <w:sz w:val="22"/>
          <w:szCs w:val="22"/>
          <w:color w:val="auto"/>
        </w:rPr>
        <w:t xml:space="preserve"> while so employed or retained and for a period of six (6) months thereafter); notwithstanding anything to the contrary in this Agreement, general employment solicitations through advertisements for candidates in publicly available media for potential employment do not violate this provision; so long as such advertisements are not specifically targeted at any Covered Individuals;</w:t>
      </w:r>
    </w:p>
    <w:p>
      <w:pPr>
        <w:spacing w:after="0" w:line="188" w:lineRule="exact"/>
        <w:rPr>
          <w:rFonts w:ascii="Times New Roman" w:cs="Times New Roman" w:eastAsia="Times New Roman" w:hAnsi="Times New Roman"/>
          <w:sz w:val="22"/>
          <w:szCs w:val="22"/>
          <w:color w:val="010000"/>
        </w:rPr>
      </w:pPr>
    </w:p>
    <w:p>
      <w:pPr>
        <w:jc w:val="both"/>
        <w:ind w:firstLine="1304"/>
        <w:spacing w:after="0" w:line="256" w:lineRule="auto"/>
        <w:tabs>
          <w:tab w:leader="none" w:pos="1887"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solicit, induce or attempt to induce any Customer (as defined below) or any supplier or other business relation of the Company Group who was working with any member of the Company Group as of the Termination Date, to cease doing or reduce the amount of its business with such entity or in any way interfere with the relationship between any such Customer, supplier or other business relation and the Company Group; or</w:t>
      </w:r>
    </w:p>
    <w:p>
      <w:pPr>
        <w:spacing w:after="0" w:line="176" w:lineRule="exact"/>
        <w:rPr>
          <w:rFonts w:ascii="Times New Roman" w:cs="Times New Roman" w:eastAsia="Times New Roman" w:hAnsi="Times New Roman"/>
          <w:sz w:val="22"/>
          <w:szCs w:val="22"/>
          <w:color w:val="010000"/>
        </w:rPr>
      </w:pPr>
    </w:p>
    <w:p>
      <w:pPr>
        <w:ind w:firstLine="1304"/>
        <w:spacing w:after="0" w:line="271" w:lineRule="auto"/>
        <w:tabs>
          <w:tab w:leader="none" w:pos="1926"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interfere, or aid or induce any other person or entity in interfering, with the relationship between the Company Group and any of their respective vendors, joint venturers or licensors.</w:t>
      </w:r>
    </w:p>
    <w:p>
      <w:pPr>
        <w:spacing w:after="0" w:line="157" w:lineRule="exact"/>
        <w:rPr>
          <w:rFonts w:ascii="Times New Roman" w:cs="Times New Roman" w:eastAsia="Times New Roman" w:hAnsi="Times New Roman"/>
          <w:sz w:val="22"/>
          <w:szCs w:val="22"/>
          <w:color w:val="010000"/>
        </w:rPr>
      </w:pPr>
    </w:p>
    <w:p>
      <w:pPr>
        <w:ind w:left="1760" w:hanging="456"/>
        <w:spacing w:after="0"/>
        <w:tabs>
          <w:tab w:leader="none" w:pos="1760"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For the purposes of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the following definitions shall apply:</w:t>
      </w:r>
    </w:p>
    <w:p>
      <w:pPr>
        <w:spacing w:after="0" w:line="219" w:lineRule="exact"/>
        <w:rPr>
          <w:rFonts w:ascii="Times New Roman" w:cs="Times New Roman" w:eastAsia="Times New Roman" w:hAnsi="Times New Roman"/>
          <w:sz w:val="22"/>
          <w:szCs w:val="22"/>
          <w:color w:val="010000"/>
        </w:rPr>
      </w:pPr>
    </w:p>
    <w:p>
      <w:pPr>
        <w:jc w:val="both"/>
        <w:ind w:left="660" w:firstLine="1292"/>
        <w:spacing w:after="0" w:line="252" w:lineRule="auto"/>
        <w:tabs>
          <w:tab w:leader="none" w:pos="2416" w:val="left"/>
        </w:tabs>
        <w:numPr>
          <w:ilvl w:val="1"/>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Customer</w:t>
      </w:r>
      <w:r>
        <w:rPr>
          <w:rFonts w:ascii="Times New Roman" w:cs="Times New Roman" w:eastAsia="Times New Roman" w:hAnsi="Times New Roman"/>
          <w:sz w:val="22"/>
          <w:szCs w:val="22"/>
          <w:color w:val="auto"/>
        </w:rPr>
        <w:t>” means any Person who or which: (a) purchased products or services from the Company Group prior to or during Employee’s period of employment and who or which Employee was aware of or about whom or which Employee had received Confidential Information; or (b) was called upon or solicited by the Company or any member of the Company Group or any of their predecessors prior to or during the twelve (12) month period prior to the Termination Date, if Employee had direct or indirect contact with such Person as an employee or service provider of the Company Group or learned or became aware of such Person during Employee’s employment with or service to the Company Group.</w:t>
      </w:r>
    </w:p>
    <w:p>
      <w:pPr>
        <w:spacing w:after="0" w:line="179" w:lineRule="exact"/>
        <w:rPr>
          <w:rFonts w:ascii="Times New Roman" w:cs="Times New Roman" w:eastAsia="Times New Roman" w:hAnsi="Times New Roman"/>
          <w:sz w:val="22"/>
          <w:szCs w:val="22"/>
          <w:color w:val="010000"/>
        </w:rPr>
      </w:pPr>
    </w:p>
    <w:p>
      <w:pPr>
        <w:jc w:val="both"/>
        <w:ind w:left="660" w:firstLine="1292"/>
        <w:spacing w:after="0" w:line="257" w:lineRule="auto"/>
        <w:tabs>
          <w:tab w:leader="none" w:pos="2679" w:val="left"/>
        </w:tabs>
        <w:numPr>
          <w:ilvl w:val="1"/>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partnership, a limited liability company, a corporation, an association, a joint stock company, a trust, a joint venture, an unincorporated organization and a governmental entity or any department, agency or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96" w:name="page97"/>
    <w:bookmarkEnd w:id="96"/>
    <w:p>
      <w:pPr>
        <w:ind w:left="1140" w:hanging="484"/>
        <w:spacing w:after="0"/>
        <w:tabs>
          <w:tab w:leader="none" w:pos="1140" w:val="left"/>
        </w:tabs>
        <w:numPr>
          <w:ilvl w:val="1"/>
          <w:numId w:val="1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Ownership of Intellectual Property</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firstLine="1304"/>
        <w:spacing w:after="0" w:line="260" w:lineRule="auto"/>
        <w:tabs>
          <w:tab w:leader="none" w:pos="1806" w:val="left"/>
        </w:tabs>
        <w:numPr>
          <w:ilvl w:val="2"/>
          <w:numId w:val="1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w:t>
      </w:r>
    </w:p>
    <w:p>
      <w:pPr>
        <w:spacing w:after="0" w:line="3" w:lineRule="exact"/>
        <w:rPr>
          <w:rFonts w:ascii="Times New Roman" w:cs="Times New Roman" w:eastAsia="Times New Roman" w:hAnsi="Times New Roman"/>
          <w:sz w:val="21"/>
          <w:szCs w:val="21"/>
          <w:color w:val="010000"/>
        </w:rPr>
      </w:pPr>
    </w:p>
    <w:p>
      <w:pPr>
        <w:jc w:val="both"/>
        <w:ind w:firstLine="8"/>
        <w:spacing w:after="0" w:line="260" w:lineRule="auto"/>
        <w:tabs>
          <w:tab w:leader="none" w:pos="274"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Times New Roman" w:cs="Times New Roman" w:eastAsia="Times New Roman" w:hAnsi="Times New Roman"/>
          <w:sz w:val="21"/>
          <w:szCs w:val="21"/>
          <w:u w:val="single" w:color="auto"/>
          <w:color w:val="auto"/>
        </w:rPr>
        <w:t>Company Intellectual Property</w:t>
      </w:r>
      <w:r>
        <w:rPr>
          <w:rFonts w:ascii="Times New Roman" w:cs="Times New Roman" w:eastAsia="Times New Roman" w:hAnsi="Times New Roman"/>
          <w:sz w:val="21"/>
          <w:szCs w:val="21"/>
          <w:color w:val="auto"/>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spacing w:after="0" w:line="171"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39" w:val="left"/>
        </w:tabs>
        <w:numPr>
          <w:ilvl w:val="2"/>
          <w:numId w:val="1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spacing w:after="0" w:line="193"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60" w:val="left"/>
        </w:tabs>
        <w:numPr>
          <w:ilvl w:val="2"/>
          <w:numId w:val="1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spacing w:after="0" w:line="180" w:lineRule="exact"/>
        <w:rPr>
          <w:rFonts w:ascii="Times New Roman" w:cs="Times New Roman" w:eastAsia="Times New Roman" w:hAnsi="Times New Roman"/>
          <w:sz w:val="22"/>
          <w:szCs w:val="22"/>
          <w:color w:val="010000"/>
        </w:rPr>
      </w:pPr>
    </w:p>
    <w:p>
      <w:pPr>
        <w:jc w:val="both"/>
        <w:ind w:firstLine="1304"/>
        <w:spacing w:after="0" w:line="263" w:lineRule="auto"/>
        <w:tabs>
          <w:tab w:leader="none" w:pos="1777" w:val="left"/>
        </w:tabs>
        <w:numPr>
          <w:ilvl w:val="2"/>
          <w:numId w:val="1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allowed by law, this Section applies to all rights that may be known as or referred to as “moral rights,” “artist’s rights,” “droit moral,” or the like, including without limitation those rights set forth in 17 U.S.C. §106A (collectively, “</w:t>
      </w:r>
      <w:r>
        <w:rPr>
          <w:rFonts w:ascii="Times New Roman" w:cs="Times New Roman" w:eastAsia="Times New Roman" w:hAnsi="Times New Roman"/>
          <w:sz w:val="22"/>
          <w:szCs w:val="22"/>
          <w:u w:val="single" w:color="auto"/>
          <w:color w:val="auto"/>
        </w:rPr>
        <w:t>Moral Rights</w:t>
      </w:r>
      <w:r>
        <w:rPr>
          <w:rFonts w:ascii="Times New Roman" w:cs="Times New Roman" w:eastAsia="Times New Roman" w:hAnsi="Times New Roman"/>
          <w:sz w:val="22"/>
          <w:szCs w:val="22"/>
          <w:color w:val="auto"/>
        </w:rPr>
        <w: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18" w:right="339" w:bottom="1440" w:gutter="0" w:footer="0" w:header="0"/>
        </w:sectPr>
      </w:pPr>
    </w:p>
    <w:bookmarkStart w:id="97" w:name="page98"/>
    <w:bookmarkEnd w:id="97"/>
    <w:p>
      <w:pPr>
        <w:jc w:val="both"/>
        <w:spacing w:after="0" w:line="256" w:lineRule="auto"/>
        <w:rPr>
          <w:sz w:val="20"/>
          <w:szCs w:val="20"/>
          <w:color w:val="auto"/>
        </w:rPr>
      </w:pPr>
      <w:r>
        <w:rPr>
          <w:rFonts w:ascii="Times New Roman" w:cs="Times New Roman" w:eastAsia="Times New Roman" w:hAnsi="Times New Roman"/>
          <w:sz w:val="22"/>
          <w:szCs w:val="22"/>
          <w:color w:val="auto"/>
        </w:rPr>
        <w:t>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spacing w:after="0" w:line="176" w:lineRule="exact"/>
        <w:rPr>
          <w:sz w:val="20"/>
          <w:szCs w:val="20"/>
          <w:color w:val="auto"/>
        </w:rPr>
      </w:pPr>
    </w:p>
    <w:p>
      <w:pPr>
        <w:jc w:val="both"/>
        <w:ind w:firstLine="1304"/>
        <w:spacing w:after="0" w:line="248" w:lineRule="auto"/>
        <w:tabs>
          <w:tab w:leader="none" w:pos="1806"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hereby represents and warrants that there are no inventions (whether or not patentable), original works of authorship, designs, know-how, mask works, ideas, information, developments, improvements, or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Times New Roman" w:cs="Times New Roman" w:eastAsia="Times New Roman" w:hAnsi="Times New Roman"/>
          <w:sz w:val="22"/>
          <w:szCs w:val="22"/>
          <w:u w:val="single" w:color="auto"/>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spacing w:after="0" w:line="184"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36"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spacing w:after="0" w:line="179"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31"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that after reasonable and diligent effort to communicate with Employee, the Company (or, as applicable, a member of the Company Group) is unable to secure Employee’s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98" w:name="page99"/>
    <w:bookmarkEnd w:id="98"/>
    <w:p>
      <w:pPr>
        <w:jc w:val="both"/>
        <w:spacing w:after="0" w:line="251" w:lineRule="auto"/>
        <w:rPr>
          <w:sz w:val="20"/>
          <w:szCs w:val="20"/>
          <w:color w:val="auto"/>
        </w:rPr>
      </w:pPr>
      <w:r>
        <w:rPr>
          <w:rFonts w:ascii="Times New Roman" w:cs="Times New Roman" w:eastAsia="Times New Roman" w:hAnsi="Times New Roman"/>
          <w:sz w:val="22"/>
          <w:szCs w:val="22"/>
          <w:color w:val="auto"/>
        </w:rPr>
        <w:t>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Employee.</w:t>
      </w:r>
    </w:p>
    <w:p>
      <w:pPr>
        <w:spacing w:after="0" w:line="181" w:lineRule="exact"/>
        <w:rPr>
          <w:sz w:val="20"/>
          <w:szCs w:val="20"/>
          <w:color w:val="auto"/>
        </w:rPr>
      </w:pPr>
    </w:p>
    <w:p>
      <w:pPr>
        <w:jc w:val="both"/>
        <w:ind w:firstLine="1304"/>
        <w:spacing w:after="0" w:line="262" w:lineRule="auto"/>
        <w:tabs>
          <w:tab w:leader="none" w:pos="1818" w:val="left"/>
        </w:tabs>
        <w:numPr>
          <w:ilvl w:val="2"/>
          <w:numId w:val="1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In the event that after reasonable and diligent effort to coordinate with Employee, the Company (or the applicable member of the Company Group) is unable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w:t>
      </w:r>
    </w:p>
    <w:p>
      <w:pPr>
        <w:spacing w:after="0" w:line="167" w:lineRule="exact"/>
        <w:rPr>
          <w:rFonts w:ascii="Times New Roman" w:cs="Times New Roman" w:eastAsia="Times New Roman" w:hAnsi="Times New Roman"/>
          <w:sz w:val="21"/>
          <w:szCs w:val="21"/>
          <w:color w:val="010000"/>
        </w:rPr>
      </w:pPr>
    </w:p>
    <w:p>
      <w:pPr>
        <w:jc w:val="both"/>
        <w:ind w:firstLine="656"/>
        <w:spacing w:after="0" w:line="265" w:lineRule="auto"/>
        <w:tabs>
          <w:tab w:leader="none" w:pos="1134" w:val="left"/>
        </w:tabs>
        <w:numPr>
          <w:ilvl w:val="1"/>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Defense of Claims</w:t>
      </w:r>
      <w:r>
        <w:rPr>
          <w:rFonts w:ascii="Times New Roman" w:cs="Times New Roman" w:eastAsia="Times New Roman" w:hAnsi="Times New Roman"/>
          <w:sz w:val="21"/>
          <w:szCs w:val="21"/>
          <w:color w:val="auto"/>
        </w:rPr>
        <w:t>. During the Employment Period and for a period of one (1) year following the Termination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request from the Company, Employee shall reasonably cooperate with the Company Group, at times and locations agreeable to Employee, to assist (a) in the prosecution of any claims that may be made by the Company Group, to the extent that such claims may relate to Employee’s employment with the Company and about which Employee has substantial knowledge and</w:t>
      </w:r>
    </w:p>
    <w:p>
      <w:pPr>
        <w:jc w:val="both"/>
        <w:ind w:firstLine="8"/>
        <w:spacing w:after="0" w:line="246" w:lineRule="auto"/>
        <w:tabs>
          <w:tab w:leader="none" w:pos="32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defense of any claims that may be made by or against any member of the Company Group that relate to Employee’s actual or prior areas of responsibility (collectively, (a) and (b) of this sentence, the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9(e)</w:t>
      </w:r>
      <w:r>
        <w:rPr>
          <w:rFonts w:ascii="Times New Roman" w:cs="Times New Roman" w:eastAsia="Times New Roman" w:hAnsi="Times New Roman"/>
          <w:sz w:val="22"/>
          <w:szCs w:val="22"/>
          <w:color w:val="auto"/>
        </w:rPr>
        <w:t xml:space="preserve">, Employee agrees to promptly inform the Company if Employee becomes aware of any lawsuits involving Claims that may be filed or threatened against the Company Group. Subject to </w:t>
      </w:r>
      <w:r>
        <w:rPr>
          <w:rFonts w:ascii="Times New Roman" w:cs="Times New Roman" w:eastAsia="Times New Roman" w:hAnsi="Times New Roman"/>
          <w:sz w:val="22"/>
          <w:szCs w:val="22"/>
          <w:u w:val="single" w:color="auto"/>
          <w:color w:val="auto"/>
        </w:rPr>
        <w:t>Section 9(e)</w:t>
      </w:r>
      <w:r>
        <w:rPr>
          <w:rFonts w:ascii="Times New Roman" w:cs="Times New Roman" w:eastAsia="Times New Roman" w:hAnsi="Times New Roman"/>
          <w:sz w:val="22"/>
          <w:szCs w:val="22"/>
          <w:color w:val="auto"/>
        </w:rPr>
        <w:t xml:space="preserve">, Employee also agrees to promptly inform the Company (to the extent that Employee is legally permitted to do so) if Employee is asked to assist in any investigation of the Company Group (or their actions) or another party attempts to obtain information or documents from Employee (other than in connection with any litigation or other proceeding in which Employee is a party-in-opposition) with respect to matters Employee believes in good faith to relate to any investigation of the Company Group, in each case, regardless of whether a lawsuit or other proceeding has then been filed against the Company Group with respect to such investigation, and shall not do so unless legally required. Subject to </w:t>
      </w:r>
      <w:r>
        <w:rPr>
          <w:rFonts w:ascii="Times New Roman" w:cs="Times New Roman" w:eastAsia="Times New Roman" w:hAnsi="Times New Roman"/>
          <w:sz w:val="22"/>
          <w:szCs w:val="22"/>
          <w:u w:val="single" w:color="auto"/>
          <w:color w:val="auto"/>
        </w:rPr>
        <w:t>Section 9(e)</w:t>
      </w:r>
      <w:r>
        <w:rPr>
          <w:rFonts w:ascii="Times New Roman" w:cs="Times New Roman" w:eastAsia="Times New Roman" w:hAnsi="Times New Roman"/>
          <w:sz w:val="22"/>
          <w:szCs w:val="22"/>
          <w:color w:val="auto"/>
        </w:rPr>
        <w:t>, during the pendency of any litigation or other proceeding involving Claims, Employee shall not communicate with anyone (other than Employee’s attorneys and tax and/or financial advisors and except to the extent that Employee determines in good faith is necessary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99" w:name="page100"/>
    <w:bookmarkEnd w:id="99"/>
    <w:p>
      <w:pPr>
        <w:jc w:val="both"/>
        <w:spacing w:after="0" w:line="257" w:lineRule="auto"/>
        <w:rPr>
          <w:sz w:val="20"/>
          <w:szCs w:val="20"/>
          <w:color w:val="auto"/>
        </w:rPr>
      </w:pPr>
      <w:r>
        <w:rPr>
          <w:rFonts w:ascii="Times New Roman" w:cs="Times New Roman" w:eastAsia="Times New Roman" w:hAnsi="Times New Roman"/>
          <w:sz w:val="22"/>
          <w:szCs w:val="22"/>
          <w:color w:val="auto"/>
        </w:rPr>
        <w:t>the performance of Employee’s duties hereunder) with respect to the facts or subject matter of any pending or potential litigation or regulatory or administrative proceeding involving the Company Group without giving prior written notice to the Company or the Company’s counsel.</w:t>
      </w:r>
    </w:p>
    <w:p>
      <w:pPr>
        <w:spacing w:after="0" w:line="182" w:lineRule="exact"/>
        <w:rPr>
          <w:sz w:val="20"/>
          <w:szCs w:val="20"/>
          <w:color w:val="auto"/>
        </w:rPr>
      </w:pPr>
    </w:p>
    <w:p>
      <w:pPr>
        <w:jc w:val="both"/>
        <w:ind w:firstLine="656"/>
        <w:spacing w:after="0" w:line="263" w:lineRule="auto"/>
        <w:tabs>
          <w:tab w:leader="none" w:pos="1161" w:val="left"/>
        </w:tabs>
        <w:numPr>
          <w:ilvl w:val="0"/>
          <w:numId w:val="1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Non-Disparagement</w:t>
      </w:r>
      <w:r>
        <w:rPr>
          <w:rFonts w:ascii="Times New Roman" w:cs="Times New Roman" w:eastAsia="Times New Roman" w:hAnsi="Times New Roman"/>
          <w:sz w:val="21"/>
          <w:szCs w:val="21"/>
          <w:color w:val="auto"/>
        </w:rPr>
        <w:t>. During the Employment Period and thereafter, except to the extent compelled or required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applicable law and subject to </w:t>
      </w:r>
      <w:r>
        <w:rPr>
          <w:rFonts w:ascii="Times New Roman" w:cs="Times New Roman" w:eastAsia="Times New Roman" w:hAnsi="Times New Roman"/>
          <w:sz w:val="21"/>
          <w:szCs w:val="21"/>
          <w:u w:val="single" w:color="auto"/>
          <w:color w:val="auto"/>
        </w:rPr>
        <w:t>Section 9(e)</w:t>
      </w:r>
      <w:r>
        <w:rPr>
          <w:rFonts w:ascii="Times New Roman" w:cs="Times New Roman" w:eastAsia="Times New Roman" w:hAnsi="Times New Roman"/>
          <w:sz w:val="21"/>
          <w:szCs w:val="21"/>
          <w:color w:val="auto"/>
        </w:rPr>
        <w:t xml:space="preserve">, Employee agrees Employee shall not disparage the Company Group or its respective officers, directors, employees, shareholders or successors or their respective products or services, in any manner (including but not limited to, verbally or via hard copy, websites, blogs, social media forums or any other medium);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nothing in this Section shall prevent Employee from: engaging in concerted activity relative to the terms and conditions of Employee’s employment and in communications protected under the National Labor Relations Act, filing a charge or providing information to any governmental agency;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nothing in this Section shall prevent Employee from providing information in response to a subpoena or other enforceable legal process or as otherwise required by law.</w:t>
      </w:r>
    </w:p>
    <w:p>
      <w:pPr>
        <w:spacing w:after="0" w:line="164" w:lineRule="exact"/>
        <w:rPr>
          <w:rFonts w:ascii="Times New Roman" w:cs="Times New Roman" w:eastAsia="Times New Roman" w:hAnsi="Times New Roman"/>
          <w:sz w:val="21"/>
          <w:szCs w:val="21"/>
          <w:color w:val="010000"/>
        </w:rPr>
      </w:pPr>
    </w:p>
    <w:p>
      <w:pPr>
        <w:jc w:val="both"/>
        <w:ind w:firstLine="656"/>
        <w:spacing w:after="0" w:line="252" w:lineRule="auto"/>
        <w:tabs>
          <w:tab w:leader="none" w:pos="1188"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Reasonableness of Covenants</w:t>
      </w:r>
      <w:r>
        <w:rPr>
          <w:rFonts w:ascii="Times New Roman" w:cs="Times New Roman" w:eastAsia="Times New Roman" w:hAnsi="Times New Roman"/>
          <w:sz w:val="22"/>
          <w:szCs w:val="22"/>
          <w:color w:val="auto"/>
        </w:rPr>
        <w:t>. In signing this Agreement, Employee has carefully read and considered all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terms and conditions of this Agreement, including the restraints imposed under these </w:t>
      </w:r>
      <w:r>
        <w:rPr>
          <w:rFonts w:ascii="Times New Roman" w:cs="Times New Roman" w:eastAsia="Times New Roman" w:hAnsi="Times New Roman"/>
          <w:sz w:val="22"/>
          <w:szCs w:val="22"/>
          <w:u w:val="single" w:color="auto"/>
          <w:color w:val="auto"/>
        </w:rPr>
        <w:t>Sections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Employee agrees that these restraints are necessary for the reasonable and proper protection of the Company Group and their trade secrets and Confidential Information and that such restraints are reasonable in respect to subject matter, length of time and geographic area. Employee acknowledges that each of these covenants has a unique, very substantial and immeasurable value to the Company Group.</w:t>
      </w:r>
    </w:p>
    <w:p>
      <w:pPr>
        <w:spacing w:after="0" w:line="174" w:lineRule="exact"/>
        <w:rPr>
          <w:rFonts w:ascii="Times New Roman" w:cs="Times New Roman" w:eastAsia="Times New Roman" w:hAnsi="Times New Roman"/>
          <w:sz w:val="22"/>
          <w:szCs w:val="22"/>
          <w:color w:val="010000"/>
        </w:rPr>
      </w:pPr>
    </w:p>
    <w:p>
      <w:pPr>
        <w:jc w:val="both"/>
        <w:ind w:firstLine="656"/>
        <w:spacing w:after="0" w:line="258" w:lineRule="auto"/>
        <w:tabs>
          <w:tab w:leader="none" w:pos="1201"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Tolling</w:t>
      </w:r>
      <w:r>
        <w:rPr>
          <w:rFonts w:ascii="Times New Roman" w:cs="Times New Roman" w:eastAsia="Times New Roman" w:hAnsi="Times New Roman"/>
          <w:sz w:val="22"/>
          <w:szCs w:val="22"/>
          <w:color w:val="auto"/>
        </w:rPr>
        <w:t>. In the event of any violation of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Employee acknowledges and agrees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that the post-termination restrictions contained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shall be extended by a period of time equal to the period of such violation, as determined by a court of law, it being the intention of the parties hereto that the running of the applicable post-termination restriction period shall be tolled during any period of such violation.</w:t>
      </w:r>
    </w:p>
    <w:p>
      <w:pPr>
        <w:spacing w:after="0" w:line="167" w:lineRule="exact"/>
        <w:rPr>
          <w:rFonts w:ascii="Times New Roman" w:cs="Times New Roman" w:eastAsia="Times New Roman" w:hAnsi="Times New Roman"/>
          <w:sz w:val="22"/>
          <w:szCs w:val="22"/>
          <w:color w:val="010000"/>
        </w:rPr>
      </w:pPr>
    </w:p>
    <w:p>
      <w:pPr>
        <w:jc w:val="both"/>
        <w:ind w:right="20" w:firstLine="656"/>
        <w:spacing w:after="0" w:line="259" w:lineRule="auto"/>
        <w:tabs>
          <w:tab w:leader="none" w:pos="1134"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Withholdings; Deductions</w:t>
      </w:r>
      <w:r>
        <w:rPr>
          <w:rFonts w:ascii="Times New Roman" w:cs="Times New Roman" w:eastAsia="Times New Roman" w:hAnsi="Times New Roman"/>
          <w:sz w:val="22"/>
          <w:szCs w:val="22"/>
          <w:color w:val="auto"/>
        </w:rPr>
        <w:t>. The Company may withhold and deduct from any benefits and payments made or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pursuant to this Agreement (a) all federal, state, local and other taxes as may be required pursuant to any law or governmental regulation or ruling and (b) any deductions consented to in writing by Employee.</w:t>
      </w:r>
    </w:p>
    <w:p>
      <w:pPr>
        <w:spacing w:after="0" w:line="179" w:lineRule="exact"/>
        <w:rPr>
          <w:rFonts w:ascii="Times New Roman" w:cs="Times New Roman" w:eastAsia="Times New Roman" w:hAnsi="Times New Roman"/>
          <w:sz w:val="22"/>
          <w:szCs w:val="22"/>
          <w:color w:val="010000"/>
        </w:rPr>
      </w:pPr>
    </w:p>
    <w:p>
      <w:pPr>
        <w:jc w:val="both"/>
        <w:ind w:firstLine="656"/>
        <w:spacing w:after="0" w:line="248" w:lineRule="auto"/>
        <w:tabs>
          <w:tab w:leader="none" w:pos="1134"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Title and Headings; Construction</w:t>
      </w:r>
      <w:r>
        <w:rPr>
          <w:rFonts w:ascii="Times New Roman" w:cs="Times New Roman" w:eastAsia="Times New Roman" w:hAnsi="Times New Roman"/>
          <w:sz w:val="22"/>
          <w:szCs w:val="22"/>
          <w:color w:val="auto"/>
        </w:rPr>
        <w:t>. Titles and headings to Sections hereof are for the purpose of reference only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100" w:name="page101"/>
    <w:bookmarkEnd w:id="100"/>
    <w:p>
      <w:pPr>
        <w:jc w:val="both"/>
        <w:spacing w:after="0" w:line="251" w:lineRule="auto"/>
        <w:rPr>
          <w:sz w:val="20"/>
          <w:szCs w:val="20"/>
          <w:color w:val="auto"/>
        </w:rPr>
      </w:pPr>
      <w:r>
        <w:rPr>
          <w:rFonts w:ascii="Times New Roman" w:cs="Times New Roman" w:eastAsia="Times New Roman" w:hAnsi="Times New Roman"/>
          <w:sz w:val="22"/>
          <w:szCs w:val="22"/>
          <w:color w:val="auto"/>
        </w:rPr>
        <w:t>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77" w:lineRule="exact"/>
        <w:rPr>
          <w:sz w:val="20"/>
          <w:szCs w:val="20"/>
          <w:color w:val="auto"/>
        </w:rPr>
      </w:pPr>
    </w:p>
    <w:p>
      <w:pPr>
        <w:jc w:val="both"/>
        <w:ind w:firstLine="656"/>
        <w:spacing w:after="0" w:line="258" w:lineRule="auto"/>
        <w:tabs>
          <w:tab w:leader="none" w:pos="1228" w:val="left"/>
        </w:tabs>
        <w:numPr>
          <w:ilvl w:val="0"/>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color w:val="auto"/>
        </w:rPr>
        <w:t>. This Agreement shall in all respects be construed according to the laws of the State of Texas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Houston, Texas.</w:t>
      </w:r>
    </w:p>
    <w:p>
      <w:pPr>
        <w:spacing w:after="0" w:line="167" w:lineRule="exact"/>
        <w:rPr>
          <w:rFonts w:ascii="Times New Roman" w:cs="Times New Roman" w:eastAsia="Times New Roman" w:hAnsi="Times New Roman"/>
          <w:sz w:val="22"/>
          <w:szCs w:val="22"/>
          <w:color w:val="010000"/>
        </w:rPr>
      </w:pPr>
    </w:p>
    <w:p>
      <w:pPr>
        <w:jc w:val="both"/>
        <w:ind w:firstLine="656"/>
        <w:spacing w:after="0" w:line="249" w:lineRule="auto"/>
        <w:tabs>
          <w:tab w:leader="none" w:pos="1174" w:val="left"/>
        </w:tabs>
        <w:numPr>
          <w:ilvl w:val="0"/>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Entire Agreement and Amendment</w:t>
      </w:r>
      <w:r>
        <w:rPr>
          <w:rFonts w:ascii="Times New Roman" w:cs="Times New Roman" w:eastAsia="Times New Roman" w:hAnsi="Times New Roman"/>
          <w:sz w:val="22"/>
          <w:szCs w:val="22"/>
          <w:color w:val="auto"/>
        </w:rPr>
        <w:t>. This Agreement contains the entire agreement of the parties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matters covered herein and, as of the Effective Date, supersedes all prior and contemporaneous agreements and understandings, oral or written, between the parties hereto concerning the subject matter hereof (including, without limitation, the Prior Agreement), other than (x) that certain Indemnification Agreement, dated May 17, 2023, between the Company and the Employee or any other indemnification rights of the Employee that are in effect or outstanding as of the Effective Date, (y) equity award agreements that are in effect or outstanding as of the Effective Date (other than as such equity award agreements may be modified hereby), or (z) the terms of Employee’s Annual Bonus for the calendar year 2025. This Agreement may be amended only by a written instrument executed by both parties hereto.</w:t>
      </w:r>
    </w:p>
    <w:p>
      <w:pPr>
        <w:spacing w:after="0" w:line="181" w:lineRule="exact"/>
        <w:rPr>
          <w:rFonts w:ascii="Times New Roman" w:cs="Times New Roman" w:eastAsia="Times New Roman" w:hAnsi="Times New Roman"/>
          <w:sz w:val="22"/>
          <w:szCs w:val="22"/>
          <w:color w:val="010000"/>
        </w:rPr>
      </w:pPr>
    </w:p>
    <w:p>
      <w:pPr>
        <w:jc w:val="both"/>
        <w:ind w:firstLine="656"/>
        <w:spacing w:after="0" w:line="252" w:lineRule="auto"/>
        <w:tabs>
          <w:tab w:leader="none" w:pos="1161" w:val="left"/>
        </w:tabs>
        <w:numPr>
          <w:ilvl w:val="0"/>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Enforcement</w:t>
      </w:r>
      <w:r>
        <w:rPr>
          <w:rFonts w:ascii="Times New Roman" w:cs="Times New Roman" w:eastAsia="Times New Roman" w:hAnsi="Times New Roman"/>
          <w:sz w:val="22"/>
          <w:szCs w:val="22"/>
          <w:color w:val="auto"/>
        </w:rPr>
        <w:t>. The parties hereto acknowledge that an award of damages for failure to comply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of this Agreement may not be an adequate remedy for the Company attempting to enforce or prevent the breach of such provisions, and accordingly the parties hereto authorize the Company to (in addition to any other remedies or relief to which it may be entitled) bring an action against Employee for a permanent or temporary injunction, to compel the specific performance or any other equitable remedy by Employee of their obligations to comply with, or prevent the breach of or remedy the breach of, such provisions without proof of actual damages.</w:t>
      </w:r>
    </w:p>
    <w:p>
      <w:pPr>
        <w:spacing w:after="0" w:line="188" w:lineRule="exact"/>
        <w:rPr>
          <w:rFonts w:ascii="Times New Roman" w:cs="Times New Roman" w:eastAsia="Times New Roman" w:hAnsi="Times New Roman"/>
          <w:sz w:val="22"/>
          <w:szCs w:val="22"/>
          <w:color w:val="010000"/>
        </w:rPr>
      </w:pPr>
    </w:p>
    <w:p>
      <w:pPr>
        <w:jc w:val="both"/>
        <w:ind w:firstLine="656"/>
        <w:spacing w:after="0" w:line="249" w:lineRule="auto"/>
        <w:tabs>
          <w:tab w:leader="none" w:pos="1174" w:val="left"/>
        </w:tabs>
        <w:numPr>
          <w:ilvl w:val="0"/>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Waiver of Breach</w:t>
      </w:r>
      <w:r>
        <w:rPr>
          <w:rFonts w:ascii="Times New Roman" w:cs="Times New Roman" w:eastAsia="Times New Roman" w:hAnsi="Times New Roman"/>
          <w:sz w:val="22"/>
          <w:szCs w:val="22"/>
          <w:color w:val="auto"/>
        </w:rPr>
        <w:t>. Any waiver of this Agreement must be executed by the party to be bound by such waiver.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spacing w:after="0" w:line="193" w:lineRule="exact"/>
        <w:rPr>
          <w:rFonts w:ascii="Times New Roman" w:cs="Times New Roman" w:eastAsia="Times New Roman" w:hAnsi="Times New Roman"/>
          <w:sz w:val="22"/>
          <w:szCs w:val="22"/>
          <w:color w:val="010000"/>
        </w:rPr>
      </w:pPr>
    </w:p>
    <w:p>
      <w:pPr>
        <w:ind w:firstLine="656"/>
        <w:spacing w:after="0" w:line="275" w:lineRule="auto"/>
        <w:tabs>
          <w:tab w:leader="none" w:pos="1215" w:val="left"/>
        </w:tabs>
        <w:numPr>
          <w:ilvl w:val="0"/>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This Agreement is personal to Employee, and neither this Agreement nor any rights or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shall be assignable or otherwise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101" w:name="page102"/>
    <w:bookmarkEnd w:id="101"/>
    <w:p>
      <w:pPr>
        <w:jc w:val="both"/>
        <w:spacing w:after="0" w:line="257" w:lineRule="auto"/>
        <w:rPr>
          <w:sz w:val="20"/>
          <w:szCs w:val="20"/>
          <w:color w:val="auto"/>
        </w:rPr>
      </w:pPr>
      <w:r>
        <w:rPr>
          <w:rFonts w:ascii="Times New Roman" w:cs="Times New Roman" w:eastAsia="Times New Roman" w:hAnsi="Times New Roman"/>
          <w:sz w:val="22"/>
          <w:szCs w:val="22"/>
          <w:color w:val="auto"/>
        </w:rPr>
        <w:t>by Employee. The Company may assign this Agreement without Employee’s consent, including to any member of the Company Group and to any successor (whether by merger, purchase or otherwise) to all or substantially all of the equity, assets or businesses of the Company.</w:t>
      </w:r>
    </w:p>
    <w:p>
      <w:pPr>
        <w:spacing w:after="0" w:line="182" w:lineRule="exact"/>
        <w:rPr>
          <w:sz w:val="20"/>
          <w:szCs w:val="20"/>
          <w:color w:val="auto"/>
        </w:rPr>
      </w:pPr>
    </w:p>
    <w:p>
      <w:pPr>
        <w:ind w:left="1160" w:hanging="504"/>
        <w:spacing w:after="0"/>
        <w:tabs>
          <w:tab w:leader="none" w:pos="1160" w:val="left"/>
        </w:tabs>
        <w:numPr>
          <w:ilvl w:val="1"/>
          <w:numId w:val="1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Notices provided for in this Agreement shall be in writing and shall be deemed to have been duly received</w:t>
      </w:r>
    </w:p>
    <w:p>
      <w:pPr>
        <w:spacing w:after="0" w:line="43" w:lineRule="exact"/>
        <w:rPr>
          <w:rFonts w:ascii="Times New Roman" w:cs="Times New Roman" w:eastAsia="Times New Roman" w:hAnsi="Times New Roman"/>
          <w:sz w:val="21"/>
          <w:szCs w:val="21"/>
          <w:color w:val="010000"/>
        </w:rPr>
      </w:pPr>
    </w:p>
    <w:p>
      <w:pPr>
        <w:jc w:val="both"/>
        <w:ind w:firstLine="8"/>
        <w:spacing w:after="0" w:line="245" w:lineRule="auto"/>
        <w:tabs>
          <w:tab w:leader="none" w:pos="295"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If to the Company, addressed to:</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Talen Energy Corporation</w:t>
      </w:r>
    </w:p>
    <w:p>
      <w:pPr>
        <w:ind w:left="1300"/>
        <w:spacing w:after="0" w:line="211" w:lineRule="auto"/>
        <w:rPr>
          <w:sz w:val="20"/>
          <w:szCs w:val="20"/>
          <w:color w:val="auto"/>
        </w:rPr>
      </w:pPr>
      <w:r>
        <w:rPr>
          <w:rFonts w:ascii="Times New Roman" w:cs="Times New Roman" w:eastAsia="Times New Roman" w:hAnsi="Times New Roman"/>
          <w:sz w:val="22"/>
          <w:szCs w:val="22"/>
          <w:color w:val="auto"/>
        </w:rPr>
        <w:t>2929 Allen Parkway,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Texas 77019</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Board of Directors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If to Employee, addressed to:</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Brad Berryman</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[Address redacted]</w:t>
      </w:r>
    </w:p>
    <w:p>
      <w:pPr>
        <w:spacing w:after="0" w:line="2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 if different, the latest address on file with the Company</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56"/>
        <w:spacing w:after="0" w:line="258" w:lineRule="auto"/>
        <w:tabs>
          <w:tab w:leader="none" w:pos="1215" w:val="left"/>
        </w:tabs>
        <w:numPr>
          <w:ilvl w:val="1"/>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including by electronic mail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67" w:lineRule="exact"/>
        <w:rPr>
          <w:rFonts w:ascii="Times New Roman" w:cs="Times New Roman" w:eastAsia="Times New Roman" w:hAnsi="Times New Roman"/>
          <w:sz w:val="22"/>
          <w:szCs w:val="22"/>
          <w:color w:val="010000"/>
        </w:rPr>
      </w:pPr>
    </w:p>
    <w:p>
      <w:pPr>
        <w:jc w:val="both"/>
        <w:ind w:firstLine="656"/>
        <w:spacing w:after="0" w:line="250" w:lineRule="auto"/>
        <w:tabs>
          <w:tab w:leader="none" w:pos="1269" w:val="left"/>
        </w:tabs>
        <w:numPr>
          <w:ilvl w:val="1"/>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Deemed Resignations</w:t>
      </w:r>
      <w:r>
        <w:rPr>
          <w:rFonts w:ascii="Times New Roman" w:cs="Times New Roman" w:eastAsia="Times New Roman" w:hAnsi="Times New Roman"/>
          <w:sz w:val="22"/>
          <w:szCs w:val="22"/>
          <w:color w:val="auto"/>
        </w:rPr>
        <w:t>. Except as otherwise determined by the Board or as otherwise agreed to in writing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w:t>
      </w:r>
    </w:p>
    <w:p>
      <w:pPr>
        <w:spacing w:after="0" w:line="1" w:lineRule="exact"/>
        <w:rPr>
          <w:rFonts w:ascii="Times New Roman" w:cs="Times New Roman" w:eastAsia="Times New Roman" w:hAnsi="Times New Roman"/>
          <w:sz w:val="22"/>
          <w:szCs w:val="22"/>
          <w:color w:val="010000"/>
        </w:rPr>
      </w:pPr>
    </w:p>
    <w:p>
      <w:pPr>
        <w:jc w:val="both"/>
        <w:ind w:firstLine="8"/>
        <w:spacing w:after="0" w:line="247" w:lineRule="auto"/>
        <w:tabs>
          <w:tab w:leader="none" w:pos="29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w:t>
      </w:r>
    </w:p>
    <w:p>
      <w:pPr>
        <w:spacing w:after="0" w:line="180"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010000"/>
        </w:rPr>
      </w:pPr>
    </w:p>
    <w:p>
      <w:pPr>
        <w:ind w:firstLine="1304"/>
        <w:spacing w:after="0" w:line="271" w:lineRule="auto"/>
        <w:tabs>
          <w:tab w:leader="none" w:pos="1900" w:val="left"/>
        </w:tabs>
        <w:numPr>
          <w:ilvl w:val="2"/>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provision of this Agreement to the contrary, all provisions of this Agreement are intended to comply with Section 409A of the Code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102" w:name="page103"/>
    <w:bookmarkEnd w:id="102"/>
    <w:p>
      <w:pPr>
        <w:jc w:val="both"/>
        <w:spacing w:after="0" w:line="250" w:lineRule="auto"/>
        <w:rPr>
          <w:sz w:val="20"/>
          <w:szCs w:val="20"/>
          <w:color w:val="auto"/>
        </w:rPr>
      </w:pPr>
      <w:r>
        <w:rPr>
          <w:rFonts w:ascii="Times New Roman" w:cs="Times New Roman" w:eastAsia="Times New Roman" w:hAnsi="Times New Roman"/>
          <w:sz w:val="22"/>
          <w:szCs w:val="22"/>
          <w:color w:val="auto"/>
        </w:rPr>
        <w:t>applicable Treasury regulations and administrative guidance issued thereunder (collectively,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w:t>
      </w:r>
    </w:p>
    <w:p>
      <w:pPr>
        <w:spacing w:after="0" w:line="180" w:lineRule="exact"/>
        <w:rPr>
          <w:sz w:val="20"/>
          <w:szCs w:val="20"/>
          <w:color w:val="auto"/>
        </w:rPr>
      </w:pPr>
    </w:p>
    <w:p>
      <w:pPr>
        <w:jc w:val="both"/>
        <w:ind w:firstLine="1304"/>
        <w:spacing w:after="0" w:line="250" w:lineRule="auto"/>
        <w:tabs>
          <w:tab w:leader="none" w:pos="1872" w:val="left"/>
        </w:tabs>
        <w:numPr>
          <w:ilvl w:val="1"/>
          <w:numId w:val="1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foregoing clause shall not be violated with regard to expenses reimbursed under any arrangement covered by Section 105(b) of the Code solely because such expenses are subject to a limit related to the period in which the arrangement is in effect.</w:t>
      </w:r>
    </w:p>
    <w:p>
      <w:pPr>
        <w:spacing w:after="0" w:line="179"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846" w:val="left"/>
        </w:tabs>
        <w:numPr>
          <w:ilvl w:val="1"/>
          <w:numId w:val="1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provision in this Agreement to the contrary, if any payment or benefit provided for herein would be subject to additional taxes and interest under Section 409A if Employee’s receipt of such payment or benefit is not delayed until the earlier of the date of Employee’s death or the date that is six (6) months after the Termination Date (such date, the “</w:t>
      </w:r>
      <w:r>
        <w:rPr>
          <w:rFonts w:ascii="Times New Roman" w:cs="Times New Roman" w:eastAsia="Times New Roman" w:hAnsi="Times New Roman"/>
          <w:sz w:val="22"/>
          <w:szCs w:val="22"/>
          <w:u w:val="single" w:color="auto"/>
          <w:color w:val="auto"/>
        </w:rPr>
        <w:t>Section 409A Payment Date</w:t>
      </w:r>
      <w:r>
        <w:rPr>
          <w:rFonts w:ascii="Times New Roman" w:cs="Times New Roman" w:eastAsia="Times New Roman" w:hAnsi="Times New Roman"/>
          <w:sz w:val="22"/>
          <w:szCs w:val="22"/>
          <w:color w:val="auto"/>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spacing w:after="0" w:line="191"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228" w:val="left"/>
        </w:tabs>
        <w:numPr>
          <w:ilvl w:val="0"/>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Effect of Termination</w:t>
      </w:r>
      <w:r>
        <w:rPr>
          <w:rFonts w:ascii="Times New Roman" w:cs="Times New Roman" w:eastAsia="Times New Roman" w:hAnsi="Times New Roman"/>
          <w:sz w:val="22"/>
          <w:szCs w:val="22"/>
          <w:color w:val="auto"/>
        </w:rPr>
        <w:t>.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7(a)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8-15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20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those provisions necessary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 and enforce them, shall survive any termination of this Agreement and any termination of the employment relationship between Employee and the Company.</w:t>
      </w:r>
    </w:p>
    <w:p>
      <w:pPr>
        <w:spacing w:after="0" w:line="166"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147" w:val="left"/>
        </w:tabs>
        <w:numPr>
          <w:ilvl w:val="0"/>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Each member of the Company Group that is not a signatory to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third-party beneficiary of Employee’s obligations under </w:t>
      </w:r>
      <w:r>
        <w:rPr>
          <w:rFonts w:ascii="Times New Roman" w:cs="Times New Roman" w:eastAsia="Times New Roman" w:hAnsi="Times New Roman"/>
          <w:sz w:val="22"/>
          <w:szCs w:val="22"/>
          <w:u w:val="single" w:color="auto"/>
          <w:color w:val="auto"/>
        </w:rPr>
        <w:t>Sections 7-15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and shall be entitled to enforce such obligations as if a party hereto.</w:t>
      </w:r>
    </w:p>
    <w:p>
      <w:pPr>
        <w:spacing w:after="0" w:line="179"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174" w:val="left"/>
        </w:tabs>
        <w:numPr>
          <w:ilvl w:val="0"/>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Certain Excise Taxes</w:t>
      </w:r>
      <w:r>
        <w:rPr>
          <w:rFonts w:ascii="Times New Roman" w:cs="Times New Roman" w:eastAsia="Times New Roman" w:hAnsi="Times New Roman"/>
          <w:sz w:val="22"/>
          <w:szCs w:val="22"/>
          <w:color w:val="auto"/>
        </w:rPr>
        <w:t>. Notwithstanding anything to the contrary in this Agreement, if Employee is a “disqualified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(as defined in Section 280G(c) of the Code), and the benefits provided for in this Agreement, together with any other payments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103" w:name="page104"/>
    <w:bookmarkEnd w:id="103"/>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benefits which Employee has the right to receive from the Company and its affiliates, would constitute a “parachute payment” (as defined in Section 280G(b)(2) of the Code), then the 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shall require the Company to be responsible for, or have any liability or obligation with respect to, Employee’s excise tax liabilities under Section 4999 of the Code.</w:t>
      </w:r>
    </w:p>
    <w:p>
      <w:pPr>
        <w:spacing w:after="0" w:line="181" w:lineRule="exact"/>
        <w:rPr>
          <w:sz w:val="20"/>
          <w:szCs w:val="20"/>
          <w:color w:val="auto"/>
        </w:rPr>
      </w:pPr>
    </w:p>
    <w:p>
      <w:pPr>
        <w:jc w:val="both"/>
        <w:ind w:firstLine="656"/>
        <w:spacing w:after="0" w:line="253" w:lineRule="auto"/>
        <w:tabs>
          <w:tab w:leader="none" w:pos="1147" w:val="left"/>
        </w:tabs>
        <w:numPr>
          <w:ilvl w:val="0"/>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 arbitrator or court of competent jurisdiction determines that any provision of this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Blank;</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104" w:name="page105"/>
    <w:bookmarkEnd w:id="104"/>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Employee and the Company each have caused this Agreement to be executed and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Effective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Brad Berryman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1506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5062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Brad Berryman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6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TALEN ENERGY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Andrew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11601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 Andrew Wright</w:t>
      </w:r>
    </w:p>
    <w:p>
      <w:pPr>
        <w:spacing w:after="0" w:line="1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Title: 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EMPLOYMENT AGREEMENT</w:t>
      </w:r>
    </w:p>
    <w:p>
      <w:pPr>
        <w:sectPr>
          <w:pgSz w:w="11900" w:h="16838" w:orient="portrait"/>
          <w:cols w:equalWidth="0" w:num="1">
            <w:col w:w="11240"/>
          </w:cols>
          <w:pgMar w:left="320" w:top="1418" w:right="339" w:bottom="1440" w:gutter="0" w:footer="0" w:header="0"/>
        </w:sectPr>
      </w:pPr>
    </w:p>
    <w:bookmarkStart w:id="105" w:name="page106"/>
    <w:bookmarkEnd w:id="105"/>
    <w:tbl>
      <w:tblPr>
        <w:tblLayout w:type="fixed"/>
        <w:tblInd w:w="10" w:type="dxa"/>
        <w:tblCellMar>
          <w:top w:w="0" w:type="dxa"/>
          <w:left w:w="0" w:type="dxa"/>
          <w:bottom w:w="0" w:type="dxa"/>
          <w:right w:w="0" w:type="dxa"/>
        </w:tblCellMar>
      </w:tblPr>
      <w:tr>
        <w:trPr>
          <w:trHeight w:val="253"/>
        </w:trPr>
        <w:tc>
          <w:tcPr>
            <w:tcW w:w="3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A</w:t>
            </w:r>
          </w:p>
        </w:tc>
        <w:tc>
          <w:tcPr>
            <w:tcW w:w="5060" w:type="dxa"/>
            <w:vAlign w:val="bottom"/>
            <w:gridSpan w:val="6"/>
          </w:tcPr>
          <w:p>
            <w:pPr>
              <w:spacing w:after="0"/>
              <w:rPr>
                <w:sz w:val="22"/>
                <w:szCs w:val="22"/>
                <w:color w:val="auto"/>
              </w:rPr>
            </w:pPr>
          </w:p>
        </w:tc>
      </w:tr>
      <w:tr>
        <w:trPr>
          <w:trHeight w:val="493"/>
        </w:trPr>
        <w:tc>
          <w:tcPr>
            <w:tcW w:w="3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LTIP TERM SHEET: 2026 AWARDS</w:t>
            </w:r>
          </w:p>
        </w:tc>
        <w:tc>
          <w:tcPr>
            <w:tcW w:w="3900" w:type="dxa"/>
            <w:vAlign w:val="bottom"/>
            <w:gridSpan w:val="4"/>
          </w:tcPr>
          <w:p>
            <w:pPr>
              <w:spacing w:after="0"/>
              <w:rPr>
                <w:sz w:val="24"/>
                <w:szCs w:val="24"/>
                <w:color w:val="auto"/>
              </w:rPr>
            </w:pPr>
          </w:p>
        </w:tc>
      </w:tr>
      <w:tr>
        <w:trPr>
          <w:trHeight w:val="277"/>
        </w:trPr>
        <w:tc>
          <w:tcPr>
            <w:tcW w:w="3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gridSpan w:val="2"/>
          </w:tcPr>
          <w:p>
            <w:pPr>
              <w:spacing w:after="0"/>
              <w:rPr>
                <w:sz w:val="24"/>
                <w:szCs w:val="24"/>
                <w:color w:val="auto"/>
              </w:rPr>
            </w:pPr>
          </w:p>
        </w:tc>
        <w:tc>
          <w:tcPr>
            <w:tcW w:w="148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59"/>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Target Award Amount</w:t>
            </w: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Awards consisting of (i) ordinary-course grants with a grant date fair value equal to</w:t>
            </w:r>
          </w:p>
        </w:tc>
      </w:tr>
      <w:tr>
        <w:trPr>
          <w:trHeight w:val="234"/>
        </w:trPr>
        <w:tc>
          <w:tcPr>
            <w:tcW w:w="3320" w:type="dxa"/>
            <w:vAlign w:val="bottom"/>
            <w:tcBorders>
              <w:left w:val="single" w:sz="8" w:color="auto"/>
              <w:right w:val="single" w:sz="8" w:color="auto"/>
            </w:tcBorders>
          </w:tcPr>
          <w:p>
            <w:pPr>
              <w:spacing w:after="0"/>
              <w:rPr>
                <w:sz w:val="20"/>
                <w:szCs w:val="20"/>
                <w:color w:val="auto"/>
              </w:rPr>
            </w:pPr>
          </w:p>
        </w:tc>
        <w:tc>
          <w:tcPr>
            <w:tcW w:w="7940" w:type="dxa"/>
            <w:vAlign w:val="bottom"/>
            <w:tcBorders>
              <w:right w:val="single" w:sz="8" w:color="auto"/>
            </w:tcBorders>
            <w:gridSpan w:val="11"/>
          </w:tcPr>
          <w:p>
            <w:pPr>
              <w:ind w:left="500"/>
              <w:spacing w:after="0" w:line="233" w:lineRule="exact"/>
              <w:rPr>
                <w:sz w:val="20"/>
                <w:szCs w:val="20"/>
                <w:color w:val="auto"/>
              </w:rPr>
            </w:pPr>
            <w:r>
              <w:rPr>
                <w:rFonts w:ascii="Times New Roman" w:cs="Times New Roman" w:eastAsia="Times New Roman" w:hAnsi="Times New Roman"/>
                <w:sz w:val="22"/>
                <w:szCs w:val="22"/>
                <w:color w:val="auto"/>
                <w:w w:val="99"/>
              </w:rPr>
              <w:t xml:space="preserve">100% of Employee’s LTIP target (the “Standard Awards”) </w:t>
            </w:r>
            <w:r>
              <w:rPr>
                <w:rFonts w:ascii="Times New Roman" w:cs="Times New Roman" w:eastAsia="Times New Roman" w:hAnsi="Times New Roman"/>
                <w:sz w:val="22"/>
                <w:szCs w:val="22"/>
                <w:i w:val="1"/>
                <w:iCs w:val="1"/>
                <w:color w:val="auto"/>
                <w:w w:val="99"/>
              </w:rPr>
              <w:t>plus</w:t>
            </w:r>
            <w:r>
              <w:rPr>
                <w:rFonts w:ascii="Times New Roman" w:cs="Times New Roman" w:eastAsia="Times New Roman" w:hAnsi="Times New Roman"/>
                <w:sz w:val="22"/>
                <w:szCs w:val="22"/>
                <w:color w:val="auto"/>
                <w:w w:val="99"/>
              </w:rPr>
              <w:t xml:space="preserve"> (ii) a one-time grant</w:t>
            </w:r>
          </w:p>
        </w:tc>
      </w:tr>
      <w:tr>
        <w:trPr>
          <w:trHeight w:val="20"/>
        </w:trPr>
        <w:tc>
          <w:tcPr>
            <w:tcW w:w="3320" w:type="dxa"/>
            <w:vAlign w:val="bottom"/>
            <w:tcBorders>
              <w:left w:val="single" w:sz="8" w:color="auto"/>
              <w:right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263"/>
        </w:trPr>
        <w:tc>
          <w:tcPr>
            <w:tcW w:w="3320" w:type="dxa"/>
            <w:vAlign w:val="bottom"/>
            <w:tcBorders>
              <w:left w:val="single" w:sz="8" w:color="auto"/>
              <w:right w:val="single" w:sz="8" w:color="auto"/>
            </w:tcBorders>
          </w:tcPr>
          <w:p>
            <w:pPr>
              <w:spacing w:after="0"/>
              <w:rPr>
                <w:sz w:val="22"/>
                <w:szCs w:val="22"/>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of awards with a grant date fair value equal to 67% of Employee’s LTIP target (the</w:t>
            </w:r>
          </w:p>
        </w:tc>
      </w:tr>
      <w:tr>
        <w:trPr>
          <w:trHeight w:val="230"/>
        </w:trPr>
        <w:tc>
          <w:tcPr>
            <w:tcW w:w="3320" w:type="dxa"/>
            <w:vAlign w:val="bottom"/>
            <w:tcBorders>
              <w:left w:val="single" w:sz="8" w:color="auto"/>
              <w:right w:val="single" w:sz="8" w:color="auto"/>
            </w:tcBorders>
          </w:tcPr>
          <w:p>
            <w:pPr>
              <w:spacing w:after="0"/>
              <w:rPr>
                <w:sz w:val="19"/>
                <w:szCs w:val="19"/>
                <w:color w:val="auto"/>
              </w:rPr>
            </w:pPr>
          </w:p>
        </w:tc>
        <w:tc>
          <w:tcPr>
            <w:tcW w:w="7940" w:type="dxa"/>
            <w:vAlign w:val="bottom"/>
            <w:tcBorders>
              <w:right w:val="single" w:sz="8" w:color="auto"/>
            </w:tcBorders>
            <w:gridSpan w:val="11"/>
          </w:tcPr>
          <w:p>
            <w:pPr>
              <w:ind w:left="500"/>
              <w:spacing w:after="0" w:line="230" w:lineRule="exact"/>
              <w:rPr>
                <w:sz w:val="20"/>
                <w:szCs w:val="20"/>
                <w:color w:val="auto"/>
              </w:rPr>
            </w:pPr>
            <w:r>
              <w:rPr>
                <w:rFonts w:ascii="Times New Roman" w:cs="Times New Roman" w:eastAsia="Times New Roman" w:hAnsi="Times New Roman"/>
                <w:sz w:val="22"/>
                <w:szCs w:val="22"/>
                <w:color w:val="auto"/>
              </w:rPr>
              <w:t>“True-Up Awards” and, together with the Standard Awards, the “2026 Awards”).</w:t>
            </w:r>
          </w:p>
        </w:tc>
      </w:tr>
      <w:tr>
        <w:trPr>
          <w:trHeight w:val="169"/>
        </w:trPr>
        <w:tc>
          <w:tcPr>
            <w:tcW w:w="3320" w:type="dxa"/>
            <w:vAlign w:val="bottom"/>
            <w:tcBorders>
              <w:left w:val="single" w:sz="8" w:color="auto"/>
              <w:bottom w:val="single" w:sz="8" w:color="auto"/>
              <w:right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r>
      <w:tr>
        <w:trPr>
          <w:trHeight w:val="26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PSU/RSU Allocation</w:t>
            </w: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Standard Awards and True-Up Awards to each consist of no more than 70% PSUs,</w:t>
            </w:r>
          </w:p>
        </w:tc>
      </w:tr>
      <w:tr>
        <w:trPr>
          <w:trHeight w:val="282"/>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with remaining 2026 Awards being RSUs.</w:t>
            </w:r>
          </w:p>
        </w:tc>
      </w:tr>
      <w:tr>
        <w:trPr>
          <w:trHeight w:val="339"/>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PSUs to have 3% “kicker” (and terms consistent with prior awards, including 30-day</w:t>
            </w:r>
          </w:p>
        </w:tc>
      </w:tr>
      <w:tr>
        <w:trPr>
          <w:trHeight w:val="282"/>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VWAP of Company common stock used to determine CAGR achievement).</w:t>
            </w:r>
          </w:p>
        </w:tc>
      </w:tr>
      <w:tr>
        <w:trPr>
          <w:trHeight w:val="137"/>
        </w:trPr>
        <w:tc>
          <w:tcPr>
            <w:tcW w:w="3320" w:type="dxa"/>
            <w:vAlign w:val="bottom"/>
            <w:tcBorders>
              <w:left w:val="single" w:sz="8" w:color="auto"/>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1440" w:type="dxa"/>
            <w:vAlign w:val="bottom"/>
            <w:tcBorders>
              <w:bottom w:val="single" w:sz="8" w:color="auto"/>
            </w:tcBorders>
            <w:gridSpan w:val="2"/>
          </w:tcPr>
          <w:p>
            <w:pPr>
              <w:spacing w:after="0"/>
              <w:rPr>
                <w:sz w:val="11"/>
                <w:szCs w:val="11"/>
                <w:color w:val="auto"/>
              </w:rPr>
            </w:pPr>
          </w:p>
        </w:tc>
        <w:tc>
          <w:tcPr>
            <w:tcW w:w="1840" w:type="dxa"/>
            <w:vAlign w:val="bottom"/>
            <w:tcBorders>
              <w:bottom w:val="single" w:sz="8" w:color="auto"/>
            </w:tcBorders>
            <w:gridSpan w:val="2"/>
          </w:tcPr>
          <w:p>
            <w:pPr>
              <w:spacing w:after="0"/>
              <w:rPr>
                <w:sz w:val="11"/>
                <w:szCs w:val="11"/>
                <w:color w:val="auto"/>
              </w:rPr>
            </w:pPr>
          </w:p>
        </w:tc>
        <w:tc>
          <w:tcPr>
            <w:tcW w:w="1480" w:type="dxa"/>
            <w:vAlign w:val="bottom"/>
            <w:tcBorders>
              <w:bottom w:val="single" w:sz="8" w:color="auto"/>
            </w:tcBorders>
            <w:gridSpan w:val="2"/>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r>
      <w:tr>
        <w:trPr>
          <w:trHeight w:val="289"/>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Vesting Term</w:t>
            </w: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Standard Awards to have a three-year term.</w:t>
            </w:r>
          </w:p>
        </w:tc>
      </w:tr>
      <w:tr>
        <w:trPr>
          <w:trHeight w:val="364"/>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True-Up Awards to have a two-year term.</w:t>
            </w:r>
          </w:p>
        </w:tc>
      </w:tr>
      <w:tr>
        <w:trPr>
          <w:trHeight w:val="123"/>
        </w:trPr>
        <w:tc>
          <w:tcPr>
            <w:tcW w:w="3320" w:type="dxa"/>
            <w:vAlign w:val="bottom"/>
            <w:tcBorders>
              <w:left w:val="single" w:sz="8" w:color="auto"/>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gridSpan w:val="2"/>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840" w:type="dxa"/>
            <w:vAlign w:val="bottom"/>
            <w:tcBorders>
              <w:bottom w:val="single" w:sz="8" w:color="auto"/>
            </w:tcBorders>
            <w:gridSpan w:val="2"/>
          </w:tcPr>
          <w:p>
            <w:pPr>
              <w:spacing w:after="0"/>
              <w:rPr>
                <w:sz w:val="10"/>
                <w:szCs w:val="10"/>
                <w:color w:val="auto"/>
              </w:rPr>
            </w:pPr>
          </w:p>
        </w:tc>
        <w:tc>
          <w:tcPr>
            <w:tcW w:w="1480" w:type="dxa"/>
            <w:vAlign w:val="bottom"/>
            <w:tcBorders>
              <w:bottom w:val="single" w:sz="8" w:color="auto"/>
            </w:tcBorders>
            <w:gridSpan w:val="2"/>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r>
      <w:tr>
        <w:trPr>
          <w:trHeight w:val="289"/>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Vesting Mechanics</w:t>
            </w: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RSUs: Ratably on each anniversary of grant.</w:t>
            </w:r>
          </w:p>
        </w:tc>
      </w:tr>
      <w:tr>
        <w:trPr>
          <w:trHeight w:val="365"/>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PSUs: Cliff-vesting at end of term.</w:t>
            </w:r>
          </w:p>
        </w:tc>
      </w:tr>
      <w:tr>
        <w:trPr>
          <w:trHeight w:val="123"/>
        </w:trPr>
        <w:tc>
          <w:tcPr>
            <w:tcW w:w="3320" w:type="dxa"/>
            <w:vAlign w:val="bottom"/>
            <w:tcBorders>
              <w:left w:val="single" w:sz="8" w:color="auto"/>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gridSpan w:val="2"/>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840" w:type="dxa"/>
            <w:vAlign w:val="bottom"/>
            <w:tcBorders>
              <w:bottom w:val="single" w:sz="8" w:color="auto"/>
            </w:tcBorders>
            <w:gridSpan w:val="2"/>
          </w:tcPr>
          <w:p>
            <w:pPr>
              <w:spacing w:after="0"/>
              <w:rPr>
                <w:sz w:val="10"/>
                <w:szCs w:val="10"/>
                <w:color w:val="auto"/>
              </w:rPr>
            </w:pPr>
          </w:p>
        </w:tc>
        <w:tc>
          <w:tcPr>
            <w:tcW w:w="1480" w:type="dxa"/>
            <w:vAlign w:val="bottom"/>
            <w:tcBorders>
              <w:bottom w:val="single" w:sz="8" w:color="auto"/>
            </w:tcBorders>
            <w:gridSpan w:val="2"/>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r>
      <w:tr>
        <w:trPr>
          <w:trHeight w:val="26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PSU Payout Mechanics</w:t>
            </w: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PSUs vesting based on the achievement of 5% (50% of target PSUs), 7.5% (100% of</w:t>
            </w:r>
          </w:p>
        </w:tc>
      </w:tr>
      <w:tr>
        <w:trPr>
          <w:trHeight w:val="256"/>
        </w:trPr>
        <w:tc>
          <w:tcPr>
            <w:tcW w:w="3320" w:type="dxa"/>
            <w:vAlign w:val="bottom"/>
            <w:tcBorders>
              <w:left w:val="single" w:sz="8" w:color="auto"/>
              <w:right w:val="single" w:sz="8" w:color="auto"/>
            </w:tcBorders>
          </w:tcPr>
          <w:p>
            <w:pPr>
              <w:spacing w:after="0"/>
              <w:rPr>
                <w:sz w:val="22"/>
                <w:szCs w:val="22"/>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target PSUs) and 10% (200% of target PSUs) CAGR, respectively (and terms</w:t>
            </w:r>
          </w:p>
        </w:tc>
      </w:tr>
      <w:tr>
        <w:trPr>
          <w:trHeight w:val="282"/>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consistent with prior awards, including regarding interpolation).</w:t>
            </w:r>
          </w:p>
        </w:tc>
      </w:tr>
      <w:tr>
        <w:trPr>
          <w:trHeight w:val="365"/>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10-day VWAP of Company common stock used to determine CAGR achievement.</w:t>
            </w:r>
          </w:p>
        </w:tc>
      </w:tr>
      <w:tr>
        <w:trPr>
          <w:trHeight w:val="137"/>
        </w:trPr>
        <w:tc>
          <w:tcPr>
            <w:tcW w:w="3320" w:type="dxa"/>
            <w:vAlign w:val="bottom"/>
            <w:tcBorders>
              <w:left w:val="single" w:sz="8" w:color="auto"/>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1440" w:type="dxa"/>
            <w:vAlign w:val="bottom"/>
            <w:tcBorders>
              <w:bottom w:val="single" w:sz="8" w:color="auto"/>
            </w:tcBorders>
            <w:gridSpan w:val="2"/>
          </w:tcPr>
          <w:p>
            <w:pPr>
              <w:spacing w:after="0"/>
              <w:rPr>
                <w:sz w:val="11"/>
                <w:szCs w:val="11"/>
                <w:color w:val="auto"/>
              </w:rPr>
            </w:pPr>
          </w:p>
        </w:tc>
        <w:tc>
          <w:tcPr>
            <w:tcW w:w="1840" w:type="dxa"/>
            <w:vAlign w:val="bottom"/>
            <w:tcBorders>
              <w:bottom w:val="single" w:sz="8" w:color="auto"/>
            </w:tcBorders>
            <w:gridSpan w:val="2"/>
          </w:tcPr>
          <w:p>
            <w:pPr>
              <w:spacing w:after="0"/>
              <w:rPr>
                <w:sz w:val="11"/>
                <w:szCs w:val="11"/>
                <w:color w:val="auto"/>
              </w:rPr>
            </w:pPr>
          </w:p>
        </w:tc>
        <w:tc>
          <w:tcPr>
            <w:tcW w:w="1480" w:type="dxa"/>
            <w:vAlign w:val="bottom"/>
            <w:tcBorders>
              <w:bottom w:val="single" w:sz="8" w:color="auto"/>
            </w:tcBorders>
            <w:gridSpan w:val="2"/>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r>
      <w:tr>
        <w:trPr>
          <w:trHeight w:val="26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Good Leaver Vesting</w:t>
            </w: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Pro-rata vesting. For RSUs, vesting occurs immediately; for PSUs, vesting occurs at</w:t>
            </w:r>
          </w:p>
        </w:tc>
      </w:tr>
      <w:tr>
        <w:trPr>
          <w:trHeight w:val="282"/>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end of performance period based on actual performance.</w:t>
            </w:r>
          </w:p>
        </w:tc>
      </w:tr>
      <w:tr>
        <w:trPr>
          <w:trHeight w:val="123"/>
        </w:trPr>
        <w:tc>
          <w:tcPr>
            <w:tcW w:w="3320" w:type="dxa"/>
            <w:vAlign w:val="bottom"/>
            <w:tcBorders>
              <w:left w:val="single" w:sz="8" w:color="auto"/>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gridSpan w:val="2"/>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840" w:type="dxa"/>
            <w:vAlign w:val="bottom"/>
            <w:tcBorders>
              <w:bottom w:val="single" w:sz="8" w:color="auto"/>
            </w:tcBorders>
            <w:gridSpan w:val="2"/>
          </w:tcPr>
          <w:p>
            <w:pPr>
              <w:spacing w:after="0"/>
              <w:rPr>
                <w:sz w:val="10"/>
                <w:szCs w:val="10"/>
                <w:color w:val="auto"/>
              </w:rPr>
            </w:pPr>
          </w:p>
        </w:tc>
        <w:tc>
          <w:tcPr>
            <w:tcW w:w="1480" w:type="dxa"/>
            <w:vAlign w:val="bottom"/>
            <w:tcBorders>
              <w:bottom w:val="single" w:sz="8" w:color="auto"/>
            </w:tcBorders>
            <w:gridSpan w:val="2"/>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r>
      <w:tr>
        <w:trPr>
          <w:trHeight w:val="26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Death/Disability Vesting</w:t>
            </w: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Pro-rata vesting. For RSUs, vesting occurs immediately; for PSUs, vesting occurs at</w:t>
            </w:r>
          </w:p>
        </w:tc>
      </w:tr>
      <w:tr>
        <w:trPr>
          <w:trHeight w:val="282"/>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end of performance period based on actual performance.</w:t>
            </w:r>
          </w:p>
        </w:tc>
      </w:tr>
      <w:tr>
        <w:trPr>
          <w:trHeight w:val="123"/>
        </w:trPr>
        <w:tc>
          <w:tcPr>
            <w:tcW w:w="3320" w:type="dxa"/>
            <w:vAlign w:val="bottom"/>
            <w:tcBorders>
              <w:left w:val="single" w:sz="8" w:color="auto"/>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gridSpan w:val="2"/>
          </w:tcPr>
          <w:p>
            <w:pPr>
              <w:spacing w:after="0"/>
              <w:rPr>
                <w:sz w:val="10"/>
                <w:szCs w:val="10"/>
                <w:color w:val="auto"/>
              </w:rPr>
            </w:pPr>
          </w:p>
        </w:tc>
        <w:tc>
          <w:tcPr>
            <w:tcW w:w="1440" w:type="dxa"/>
            <w:vAlign w:val="bottom"/>
            <w:tcBorders>
              <w:bottom w:val="single" w:sz="8" w:color="auto"/>
            </w:tcBorders>
            <w:gridSpan w:val="2"/>
          </w:tcPr>
          <w:p>
            <w:pPr>
              <w:spacing w:after="0"/>
              <w:rPr>
                <w:sz w:val="10"/>
                <w:szCs w:val="10"/>
                <w:color w:val="auto"/>
              </w:rPr>
            </w:pPr>
          </w:p>
        </w:tc>
        <w:tc>
          <w:tcPr>
            <w:tcW w:w="1840" w:type="dxa"/>
            <w:vAlign w:val="bottom"/>
            <w:tcBorders>
              <w:bottom w:val="single" w:sz="8" w:color="auto"/>
            </w:tcBorders>
            <w:gridSpan w:val="2"/>
          </w:tcPr>
          <w:p>
            <w:pPr>
              <w:spacing w:after="0"/>
              <w:rPr>
                <w:sz w:val="10"/>
                <w:szCs w:val="10"/>
                <w:color w:val="auto"/>
              </w:rPr>
            </w:pPr>
          </w:p>
        </w:tc>
        <w:tc>
          <w:tcPr>
            <w:tcW w:w="1480" w:type="dxa"/>
            <w:vAlign w:val="bottom"/>
            <w:tcBorders>
              <w:bottom w:val="single" w:sz="8" w:color="auto"/>
            </w:tcBorders>
            <w:gridSpan w:val="2"/>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r>
      <w:tr>
        <w:trPr>
          <w:trHeight w:val="263"/>
        </w:trPr>
        <w:tc>
          <w:tcPr>
            <w:tcW w:w="3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Change in Control Vesting</w:t>
            </w: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2026 Awards vest in full if awards are not assumed (with PSU performance</w:t>
            </w:r>
          </w:p>
        </w:tc>
      </w:tr>
      <w:tr>
        <w:trPr>
          <w:trHeight w:val="282"/>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determined based on the Change in Control price).</w:t>
            </w:r>
          </w:p>
        </w:tc>
      </w:tr>
      <w:tr>
        <w:trPr>
          <w:trHeight w:val="339"/>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180"/>
              <w:spacing w:after="0"/>
              <w:rPr>
                <w:sz w:val="20"/>
                <w:szCs w:val="20"/>
                <w:color w:val="auto"/>
              </w:rPr>
            </w:pPr>
            <w:r>
              <w:rPr>
                <w:rFonts w:ascii="Times New Roman" w:cs="Times New Roman" w:eastAsia="Times New Roman" w:hAnsi="Times New Roman"/>
                <w:sz w:val="22"/>
                <w:szCs w:val="22"/>
                <w:color w:val="auto"/>
              </w:rPr>
              <w:t>•  If 2026 Awards are assumed, to be subject to double-trigger accelerated vesting on a</w:t>
            </w:r>
          </w:p>
        </w:tc>
      </w:tr>
      <w:tr>
        <w:trPr>
          <w:trHeight w:val="257"/>
        </w:trPr>
        <w:tc>
          <w:tcPr>
            <w:tcW w:w="3320" w:type="dxa"/>
            <w:vAlign w:val="bottom"/>
            <w:tcBorders>
              <w:left w:val="single" w:sz="8" w:color="auto"/>
              <w:right w:val="single" w:sz="8" w:color="auto"/>
            </w:tcBorders>
          </w:tcPr>
          <w:p>
            <w:pPr>
              <w:spacing w:after="0"/>
              <w:rPr>
                <w:sz w:val="22"/>
                <w:szCs w:val="22"/>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termination without Cause or resignation for Good Reason that occurs within 18</w:t>
            </w:r>
          </w:p>
        </w:tc>
      </w:tr>
      <w:tr>
        <w:trPr>
          <w:trHeight w:val="270"/>
        </w:trPr>
        <w:tc>
          <w:tcPr>
            <w:tcW w:w="3320" w:type="dxa"/>
            <w:vAlign w:val="bottom"/>
            <w:tcBorders>
              <w:left w:val="single" w:sz="8" w:color="auto"/>
              <w:right w:val="single" w:sz="8" w:color="auto"/>
            </w:tcBorders>
          </w:tcPr>
          <w:p>
            <w:pPr>
              <w:spacing w:after="0"/>
              <w:rPr>
                <w:sz w:val="23"/>
                <w:szCs w:val="23"/>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months following a Change in Control (with PSU performance determined as of the</w:t>
            </w:r>
          </w:p>
        </w:tc>
      </w:tr>
      <w:tr>
        <w:trPr>
          <w:trHeight w:val="282"/>
        </w:trPr>
        <w:tc>
          <w:tcPr>
            <w:tcW w:w="3320" w:type="dxa"/>
            <w:vAlign w:val="bottom"/>
            <w:tcBorders>
              <w:left w:val="single" w:sz="8" w:color="auto"/>
              <w:right w:val="single" w:sz="8" w:color="auto"/>
            </w:tcBorders>
          </w:tcPr>
          <w:p>
            <w:pPr>
              <w:spacing w:after="0"/>
              <w:rPr>
                <w:sz w:val="24"/>
                <w:szCs w:val="24"/>
                <w:color w:val="auto"/>
              </w:rPr>
            </w:pPr>
          </w:p>
        </w:tc>
        <w:tc>
          <w:tcPr>
            <w:tcW w:w="7940" w:type="dxa"/>
            <w:vAlign w:val="bottom"/>
            <w:tcBorders>
              <w:right w:val="single" w:sz="8" w:color="auto"/>
            </w:tcBorders>
            <w:gridSpan w:val="11"/>
          </w:tcPr>
          <w:p>
            <w:pPr>
              <w:ind w:left="500"/>
              <w:spacing w:after="0"/>
              <w:rPr>
                <w:sz w:val="20"/>
                <w:szCs w:val="20"/>
                <w:color w:val="auto"/>
              </w:rPr>
            </w:pPr>
            <w:r>
              <w:rPr>
                <w:rFonts w:ascii="Times New Roman" w:cs="Times New Roman" w:eastAsia="Times New Roman" w:hAnsi="Times New Roman"/>
                <w:sz w:val="22"/>
                <w:szCs w:val="22"/>
                <w:color w:val="auto"/>
              </w:rPr>
              <w:t>end of the applicable performance period).</w:t>
            </w:r>
          </w:p>
        </w:tc>
      </w:tr>
      <w:tr>
        <w:trPr>
          <w:trHeight w:val="123"/>
        </w:trPr>
        <w:tc>
          <w:tcPr>
            <w:tcW w:w="3320" w:type="dxa"/>
            <w:vAlign w:val="bottom"/>
            <w:tcBorders>
              <w:left w:val="single" w:sz="8" w:color="auto"/>
              <w:bottom w:val="single" w:sz="8" w:color="auto"/>
              <w:right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r>
    </w:tbl>
    <w:p>
      <w:pPr>
        <w:sectPr>
          <w:pgSz w:w="11900" w:h="16838" w:orient="portrait"/>
          <w:cols w:equalWidth="0" w:num="1">
            <w:col w:w="11260"/>
          </w:cols>
          <w:pgMar w:left="320" w:top="1399" w:right="31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12,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 Wander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via e-mail</w:t>
      </w:r>
    </w:p>
    <w:p>
      <w:pPr>
        <w:spacing w:after="0" w:line="236" w:lineRule="exact"/>
        <w:rPr>
          <w:sz w:val="20"/>
          <w:szCs w:val="20"/>
          <w:color w:val="auto"/>
        </w:rPr>
      </w:pPr>
    </w:p>
    <w:p>
      <w:pPr>
        <w:ind w:right="4800" w:firstLine="648"/>
        <w:spacing w:after="0" w:line="448" w:lineRule="auto"/>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Transition and Retirement Agreement and Release of Claims</w:t>
      </w:r>
      <w:r>
        <w:rPr>
          <w:rFonts w:ascii="Times New Roman" w:cs="Times New Roman" w:eastAsia="Times New Roman" w:hAnsi="Times New Roman"/>
          <w:sz w:val="22"/>
          <w:szCs w:val="22"/>
          <w:color w:val="auto"/>
        </w:rPr>
        <w:t xml:space="preserve"> Dear John:</w:t>
      </w:r>
    </w:p>
    <w:p>
      <w:pPr>
        <w:spacing w:after="0" w:line="1" w:lineRule="exact"/>
        <w:rPr>
          <w:sz w:val="20"/>
          <w:szCs w:val="20"/>
          <w:color w:val="auto"/>
        </w:rPr>
      </w:pPr>
    </w:p>
    <w:p>
      <w:pPr>
        <w:jc w:val="both"/>
        <w:ind w:firstLine="630"/>
        <w:spacing w:after="0" w:line="257" w:lineRule="auto"/>
        <w:rPr>
          <w:sz w:val="20"/>
          <w:szCs w:val="20"/>
          <w:color w:val="auto"/>
        </w:rPr>
      </w:pPr>
      <w:r>
        <w:rPr>
          <w:rFonts w:ascii="Times New Roman" w:cs="Times New Roman" w:eastAsia="Times New Roman" w:hAnsi="Times New Roman"/>
          <w:sz w:val="22"/>
          <w:szCs w:val="22"/>
          <w:color w:val="auto"/>
        </w:rPr>
        <w:t>This letter agreement (this “</w:t>
      </w:r>
      <w:r>
        <w:rPr>
          <w:rFonts w:ascii="Times New Roman" w:cs="Times New Roman" w:eastAsia="Times New Roman" w:hAnsi="Times New Roman"/>
          <w:sz w:val="22"/>
          <w:szCs w:val="22"/>
          <w:u w:val="single" w:color="auto"/>
          <w:color w:val="auto"/>
        </w:rPr>
        <w:t>Letter Agreement</w:t>
      </w:r>
      <w:r>
        <w:rPr>
          <w:rFonts w:ascii="Times New Roman" w:cs="Times New Roman" w:eastAsia="Times New Roman" w:hAnsi="Times New Roman"/>
          <w:sz w:val="22"/>
          <w:szCs w:val="22"/>
          <w:color w:val="auto"/>
        </w:rPr>
        <w:t>”) confirms our agreement regarding the transition of your duties and retirement from employment with Talen Energy Corporation,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its direct and indirect subsidiaries (collectively, the “</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630"/>
        <w:spacing w:after="0" w:line="260" w:lineRule="auto"/>
        <w:rPr>
          <w:sz w:val="20"/>
          <w:szCs w:val="20"/>
          <w:color w:val="auto"/>
        </w:rPr>
      </w:pPr>
      <w:r>
        <w:rPr>
          <w:rFonts w:ascii="Times New Roman" w:cs="Times New Roman" w:eastAsia="Times New Roman" w:hAnsi="Times New Roman"/>
          <w:sz w:val="21"/>
          <w:szCs w:val="21"/>
          <w:color w:val="auto"/>
        </w:rPr>
        <w:t>Reference is made herein to (a) the Employment Agreement, by and between you and the Company, dated as of June 19, 2023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(b) the Talen Energy Corporation 2023 Equity Incentive Plan (as amended, restated, modified or otherwise supplemented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(c) the Restricted Stock Unit Award Agreement, by and between you and the Company, dated as of June 16, 2023 (the “</w:t>
      </w:r>
      <w:r>
        <w:rPr>
          <w:rFonts w:ascii="Times New Roman" w:cs="Times New Roman" w:eastAsia="Times New Roman" w:hAnsi="Times New Roman"/>
          <w:sz w:val="21"/>
          <w:szCs w:val="21"/>
          <w:u w:val="single" w:color="auto"/>
          <w:color w:val="auto"/>
        </w:rPr>
        <w:t>Emergence RSU Award</w:t>
      </w:r>
      <w:r>
        <w:rPr>
          <w:rFonts w:ascii="Times New Roman" w:cs="Times New Roman" w:eastAsia="Times New Roman" w:hAnsi="Times New Roman"/>
          <w:sz w:val="21"/>
          <w:szCs w:val="21"/>
          <w:color w:val="auto"/>
        </w:rPr>
        <w:t>”); (d) the Performance-Based Restricted Stock Unit Award Agreement, by and between you and the Company, dated as of June 16, 2023 (together with the Emergence RSU Award, the “</w:t>
      </w:r>
      <w:r>
        <w:rPr>
          <w:rFonts w:ascii="Times New Roman" w:cs="Times New Roman" w:eastAsia="Times New Roman" w:hAnsi="Times New Roman"/>
          <w:sz w:val="21"/>
          <w:szCs w:val="21"/>
          <w:u w:val="single" w:color="auto"/>
          <w:color w:val="auto"/>
        </w:rPr>
        <w:t>Emergence Awards</w:t>
      </w:r>
      <w:r>
        <w:rPr>
          <w:rFonts w:ascii="Times New Roman" w:cs="Times New Roman" w:eastAsia="Times New Roman" w:hAnsi="Times New Roman"/>
          <w:sz w:val="21"/>
          <w:szCs w:val="21"/>
          <w:color w:val="auto"/>
        </w:rPr>
        <w:t>”), (e) the Restricted Stock Unit Award Agreement, by and between you and the Company, dated as of February 28, 2025 (the “</w:t>
      </w:r>
      <w:r>
        <w:rPr>
          <w:rFonts w:ascii="Times New Roman" w:cs="Times New Roman" w:eastAsia="Times New Roman" w:hAnsi="Times New Roman"/>
          <w:sz w:val="21"/>
          <w:szCs w:val="21"/>
          <w:u w:val="single" w:color="auto"/>
          <w:color w:val="auto"/>
        </w:rPr>
        <w:t>2025 RSU Award</w:t>
      </w:r>
      <w:r>
        <w:rPr>
          <w:rFonts w:ascii="Times New Roman" w:cs="Times New Roman" w:eastAsia="Times New Roman" w:hAnsi="Times New Roman"/>
          <w:sz w:val="21"/>
          <w:szCs w:val="21"/>
          <w:color w:val="auto"/>
        </w:rPr>
        <w:t>”), and (f) the Performance-Based Restricted Stock Unit Award Agreement, by and between you and the Company, dated as of February 28, 2025 (the “</w:t>
      </w:r>
      <w:r>
        <w:rPr>
          <w:rFonts w:ascii="Times New Roman" w:cs="Times New Roman" w:eastAsia="Times New Roman" w:hAnsi="Times New Roman"/>
          <w:sz w:val="21"/>
          <w:szCs w:val="21"/>
          <w:u w:val="single" w:color="auto"/>
          <w:color w:val="auto"/>
        </w:rPr>
        <w:t>2025 PSU Award</w:t>
      </w:r>
      <w:r>
        <w:rPr>
          <w:rFonts w:ascii="Times New Roman" w:cs="Times New Roman" w:eastAsia="Times New Roman" w:hAnsi="Times New Roman"/>
          <w:sz w:val="21"/>
          <w:szCs w:val="21"/>
          <w:color w:val="auto"/>
        </w:rPr>
        <w:t>” and, collectively with the Emergence Awards and the 2025 RSU Award, the “</w:t>
      </w:r>
      <w:r>
        <w:rPr>
          <w:rFonts w:ascii="Times New Roman" w:cs="Times New Roman" w:eastAsia="Times New Roman" w:hAnsi="Times New Roman"/>
          <w:sz w:val="21"/>
          <w:szCs w:val="21"/>
          <w:u w:val="single" w:color="auto"/>
          <w:color w:val="auto"/>
        </w:rPr>
        <w:t>Award Agreements</w:t>
      </w:r>
      <w:r>
        <w:rPr>
          <w:rFonts w:ascii="Times New Roman" w:cs="Times New Roman" w:eastAsia="Times New Roman" w:hAnsi="Times New Roman"/>
          <w:sz w:val="21"/>
          <w:szCs w:val="21"/>
          <w:color w:val="auto"/>
        </w:rPr>
        <w:t>”). For the avoidance of doubt, the Employment Agreement will continue to govern your employment with the Company until the Transition Date (as defined below).</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Capitalized terms used but not defined herein will have the meaning ascribed thereto in the Plan.</w:t>
      </w:r>
    </w:p>
    <w:p>
      <w:pPr>
        <w:spacing w:after="0" w:line="229" w:lineRule="exact"/>
        <w:rPr>
          <w:sz w:val="20"/>
          <w:szCs w:val="20"/>
          <w:color w:val="auto"/>
        </w:rPr>
      </w:pPr>
    </w:p>
    <w:p>
      <w:pPr>
        <w:ind w:left="1040" w:hanging="384"/>
        <w:spacing w:after="0"/>
        <w:tabs>
          <w:tab w:leader="none" w:pos="1040" w:val="left"/>
        </w:tabs>
        <w:numPr>
          <w:ilvl w:val="0"/>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Period.</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771"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date of this Agreement, you and the Company acknowledge and agree that (i) you will no longer be eligible to receive any new grants of equity awards under the Plan and (ii) you shall report directly to the President of the Company rather than the Company’s Chief Executive Officer.</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93"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May 20, 2026 (the “</w:t>
      </w:r>
      <w:r>
        <w:rPr>
          <w:rFonts w:ascii="Times New Roman" w:cs="Times New Roman" w:eastAsia="Times New Roman" w:hAnsi="Times New Roman"/>
          <w:sz w:val="22"/>
          <w:szCs w:val="22"/>
          <w:u w:val="single" w:color="auto"/>
          <w:color w:val="auto"/>
        </w:rPr>
        <w:t>Transition Date</w:t>
      </w:r>
      <w:r>
        <w:rPr>
          <w:rFonts w:ascii="Times New Roman" w:cs="Times New Roman" w:eastAsia="Times New Roman" w:hAnsi="Times New Roman"/>
          <w:sz w:val="22"/>
          <w:szCs w:val="22"/>
          <w:color w:val="auto"/>
        </w:rPr>
        <w:t>”), you will transition from your role as General Counsel and Corporate Secretary of the Company to the role of Senior Advisor to the Company, reporting to the President of the Company. Except as expressly permitted by the Chief Executive Officer or President of the Company, effective as of the Transition Date, you will no longer have any authority to represent or bind the Company Group and will not hold yourself out as having any such authority. Except for your role as Senior</w:t>
      </w:r>
    </w:p>
    <w:p>
      <w:pPr>
        <w:sectPr>
          <w:pgSz w:w="11900" w:h="16838" w:orient="portrait"/>
          <w:cols w:equalWidth="0" w:num="1">
            <w:col w:w="11240"/>
          </w:cols>
          <w:pgMar w:left="320" w:top="120" w:right="339" w:bottom="1440" w:gutter="0" w:footer="0" w:header="0"/>
        </w:sectPr>
      </w:pPr>
    </w:p>
    <w:bookmarkStart w:id="107" w:name="page108"/>
    <w:bookmarkEnd w:id="107"/>
    <w:p>
      <w:pPr>
        <w:spacing w:after="0" w:line="271" w:lineRule="auto"/>
        <w:rPr>
          <w:sz w:val="20"/>
          <w:szCs w:val="20"/>
          <w:color w:val="auto"/>
        </w:rPr>
      </w:pPr>
      <w:r>
        <w:rPr>
          <w:rFonts w:ascii="Times New Roman" w:cs="Times New Roman" w:eastAsia="Times New Roman" w:hAnsi="Times New Roman"/>
          <w:sz w:val="22"/>
          <w:szCs w:val="22"/>
          <w:color w:val="auto"/>
        </w:rPr>
        <w:t xml:space="preserve">Advisor to the Company or as described in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as of the Transition Date, you will be deemed to have resigned from any positions with the Company Group (whether as an officer or otherwise).</w:t>
      </w:r>
    </w:p>
    <w:p>
      <w:pPr>
        <w:spacing w:after="0" w:line="158" w:lineRule="exact"/>
        <w:rPr>
          <w:sz w:val="20"/>
          <w:szCs w:val="20"/>
          <w:color w:val="auto"/>
        </w:rPr>
      </w:pPr>
    </w:p>
    <w:p>
      <w:pPr>
        <w:jc w:val="both"/>
        <w:ind w:firstLine="1304"/>
        <w:spacing w:after="0" w:line="253" w:lineRule="auto"/>
        <w:tabs>
          <w:tab w:leader="none" w:pos="1786" w:val="left"/>
        </w:tabs>
        <w:numPr>
          <w:ilvl w:val="2"/>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commencing on the Transition Date and ending on June 30, 2026 (the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and such period, the “</w:t>
      </w: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 you will provide services reasonably requested by the Company, including transitioning your former duties, responsibilities and external relationships (the “</w:t>
      </w:r>
      <w:r>
        <w:rPr>
          <w:rFonts w:ascii="Times New Roman" w:cs="Times New Roman" w:eastAsia="Times New Roman" w:hAnsi="Times New Roman"/>
          <w:sz w:val="22"/>
          <w:szCs w:val="22"/>
          <w:u w:val="single" w:color="auto"/>
          <w:color w:val="auto"/>
        </w:rPr>
        <w:t>Transition Services</w:t>
      </w:r>
      <w:r>
        <w:rPr>
          <w:rFonts w:ascii="Times New Roman" w:cs="Times New Roman" w:eastAsia="Times New Roman" w:hAnsi="Times New Roman"/>
          <w:sz w:val="22"/>
          <w:szCs w:val="22"/>
          <w:color w:val="auto"/>
        </w:rPr>
        <w:t>”). During the Transition Period, the Company may direct you to work from home or from the Company’s office, depending on the Company’s needs (and subject to any applicable laws or policies).</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42" w:val="left"/>
        </w:tabs>
        <w:numPr>
          <w:ilvl w:val="2"/>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Transition Period, the Company will provide you with the same employee benefits (including, without limitation, health plan coverage and those business expenses provided under Section 5 of the Employment Agreement) as in effect immediately prior to the Transition Date. Your outstanding equity awards will continue to vest in accordance with their terms during the Transition Period. Following the Transition Period, the Company will pay you $12,500 (in accordance with the Company’s ordinary payroll practices) for your services as a Senior Advisor (such payment, the “</w:t>
      </w:r>
      <w:r>
        <w:rPr>
          <w:rFonts w:ascii="Times New Roman" w:cs="Times New Roman" w:eastAsia="Times New Roman" w:hAnsi="Times New Roman"/>
          <w:sz w:val="22"/>
          <w:szCs w:val="22"/>
          <w:u w:val="single" w:color="auto"/>
          <w:color w:val="auto"/>
        </w:rPr>
        <w:t>SA Payment</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304"/>
        <w:spacing w:after="0" w:line="264" w:lineRule="auto"/>
        <w:tabs>
          <w:tab w:leader="none" w:pos="1756" w:val="left"/>
        </w:tabs>
        <w:numPr>
          <w:ilvl w:val="2"/>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consideration for the rights and benefits offered pursuant to this Agreement (including, but not limited to, </w:t>
      </w:r>
      <w:r>
        <w:rPr>
          <w:rFonts w:ascii="Times New Roman" w:cs="Times New Roman" w:eastAsia="Times New Roman" w:hAnsi="Times New Roman"/>
          <w:sz w:val="21"/>
          <w:szCs w:val="21"/>
          <w:u w:val="single" w:color="auto"/>
          <w:color w:val="auto"/>
        </w:rPr>
        <w:t>Sections 1(d)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herein), you expressly and irrevocably waive and release any and all claims you may have to terminate your employment for Good Reason under the Employment Agreement and receive payments and benefits or otherwise be entitled to any other rights under any plan, program, agreement or other arrangement sponsored by the Company Group, as the result of</w:t>
      </w:r>
    </w:p>
    <w:p>
      <w:pPr>
        <w:ind w:right="20" w:firstLine="8"/>
        <w:spacing w:after="0" w:line="248" w:lineRule="auto"/>
        <w:tabs>
          <w:tab w:leader="none" w:pos="29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role change from General Counsel and Corporate Secretary to Senior Advisor and (ii) you directly reporting to the President following the date of this Agreement, rather than directly reporting to the Chief Executive Officer of the Company.</w:t>
      </w:r>
    </w:p>
    <w:p>
      <w:pPr>
        <w:spacing w:after="0" w:line="178"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Separation.</w:t>
      </w:r>
    </w:p>
    <w:p>
      <w:pPr>
        <w:spacing w:after="0" w:line="237"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786" w:val="left"/>
        </w:tabs>
        <w:numPr>
          <w:ilvl w:val="2"/>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the Separation Date, you will no longer be an employee or service provider of (or hold any other positions with) the Company Group, and you will not hold yourself out as a partner, member, director, officer or employee of, or as otherwise affiliated with, the Company Group (including on social media). You will promptly execute any documents as may be requested by the Company to evidence your termination of employment with the Company. Additionally, on or following the Separation Date, you will execute the General Release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General Release</w:t>
      </w:r>
      <w:r>
        <w:rPr>
          <w:rFonts w:ascii="Times New Roman" w:cs="Times New Roman" w:eastAsia="Times New Roman" w:hAnsi="Times New Roman"/>
          <w:sz w:val="22"/>
          <w:szCs w:val="22"/>
          <w:color w:val="auto"/>
        </w:rPr>
        <w:t>”) such that the General Release becomes effective and irrevocable no later than 30 days following the Separation Date.</w:t>
      </w:r>
    </w:p>
    <w:p>
      <w:pPr>
        <w:spacing w:after="0" w:line="18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58" w:val="left"/>
        </w:tabs>
        <w:numPr>
          <w:ilvl w:val="2"/>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any accrued but unpaid wages in a lump sum, less all applicable deductions and withholdings, within thirty (30) days following the Separation Date, or such earlier date as may be required by applicable law. For the sake of clarity, no payment will be owed to you in lieu of any accrued but unused paid time off as of the Separation Date, and any such accrued but unused paid time off will be forfeited for no consideration on the Separation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08" w:name="page109"/>
    <w:bookmarkEnd w:id="108"/>
    <w:p>
      <w:pPr>
        <w:jc w:val="both"/>
        <w:ind w:firstLine="1304"/>
        <w:spacing w:after="0" w:line="253" w:lineRule="auto"/>
        <w:tabs>
          <w:tab w:leader="none" w:pos="1768"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your execution and non-revocation of the General Release, the Company shall pay you an amount equal to the product of (x) the target amount of your Annual Bonus that you would earn for 2026 and (y) a fraction, the numerator of which is the number of days you are employed with the Company during 2026 through the Transition Date and the denominator of which is 365, payable within sixty (60) days following the Separation Date (but in no event prior to the Release Effective Date (as defined below)) (the “</w:t>
      </w:r>
      <w:r>
        <w:rPr>
          <w:rFonts w:ascii="Times New Roman" w:cs="Times New Roman" w:eastAsia="Times New Roman" w:hAnsi="Times New Roman"/>
          <w:sz w:val="22"/>
          <w:szCs w:val="22"/>
          <w:u w:val="single" w:color="auto"/>
          <w:color w:val="auto"/>
        </w:rPr>
        <w:t>Pro-Rata Bonus</w:t>
      </w:r>
      <w:r>
        <w:rPr>
          <w:rFonts w:ascii="Times New Roman" w:cs="Times New Roman" w:eastAsia="Times New Roman" w:hAnsi="Times New Roman"/>
          <w:sz w:val="22"/>
          <w:szCs w:val="22"/>
          <w:color w:val="auto"/>
        </w:rPr>
        <w:t>”).</w:t>
      </w:r>
    </w:p>
    <w:p>
      <w:pPr>
        <w:spacing w:after="0" w:line="174" w:lineRule="exact"/>
        <w:rPr>
          <w:rFonts w:ascii="Times New Roman" w:cs="Times New Roman" w:eastAsia="Times New Roman" w:hAnsi="Times New Roman"/>
          <w:sz w:val="22"/>
          <w:szCs w:val="22"/>
          <w:color w:val="auto"/>
        </w:rPr>
      </w:pPr>
    </w:p>
    <w:p>
      <w:pPr>
        <w:jc w:val="both"/>
        <w:ind w:firstLine="656"/>
        <w:spacing w:after="0" w:line="249" w:lineRule="auto"/>
        <w:tabs>
          <w:tab w:leader="none" w:pos="1037"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COBRA. </w:t>
      </w:r>
      <w:r>
        <w:rPr>
          <w:rFonts w:ascii="Times New Roman" w:cs="Times New Roman" w:eastAsia="Times New Roman" w:hAnsi="Times New Roman"/>
          <w:sz w:val="22"/>
          <w:szCs w:val="22"/>
          <w:color w:val="auto"/>
        </w:rPr>
        <w:t>As consideration for, and subject to, your compliance with this Letter Agreement,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6</w:t>
      </w:r>
      <w:r>
        <w:rPr>
          <w:rFonts w:ascii="Times New Roman" w:cs="Times New Roman" w:eastAsia="Times New Roman" w:hAnsi="Times New Roman"/>
          <w:sz w:val="22"/>
          <w:szCs w:val="22"/>
          <w:color w:val="auto"/>
        </w:rPr>
        <w:t>, and with the General Release, subject to your timely election of continuation coverage under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xml:space="preserve">”), you and your eligible dependents as of the Separation Date will be entitled to continued participation (pursuant to COBRA) in the Company’s group health plan (to the extent permitted under applicable law and the terms of such plan) covering you and your eligible dependents for a period of thirty-six (36) months following the Separation Date at your sole expense,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may modify the continuation coverage contemplated by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to the extent reasonably necessary to avoid the imposition of any excise taxes on the Company for failure to comply with the nondiscrimination requirements of Section 105(h) of the Internal Revenue Code of 1986, as amended, the Patient Protection and Affordable Care Act of 2010, as amended, and/or the Health Care and Education Reconciliation Act of 2010, as amended, and in each case, the regulations and guidance promulgated thereunder (to the extent applicable) (the “</w:t>
      </w:r>
      <w:r>
        <w:rPr>
          <w:rFonts w:ascii="Times New Roman" w:cs="Times New Roman" w:eastAsia="Times New Roman" w:hAnsi="Times New Roman"/>
          <w:sz w:val="22"/>
          <w:szCs w:val="22"/>
          <w:u w:val="single" w:color="auto"/>
          <w:color w:val="auto"/>
        </w:rPr>
        <w:t>COBRA Benefit</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b w:val="1"/>
          <w:bCs w:val="1"/>
          <w:color w:val="auto"/>
        </w:rPr>
      </w:pPr>
    </w:p>
    <w:p>
      <w:pPr>
        <w:ind w:left="1040" w:hanging="384"/>
        <w:spacing w:after="0"/>
        <w:tabs>
          <w:tab w:leader="none" w:pos="1040"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Incentive Equity Treatment.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846"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Settlement</w:t>
      </w:r>
      <w:r>
        <w:rPr>
          <w:rFonts w:ascii="Times New Roman" w:cs="Times New Roman" w:eastAsia="Times New Roman" w:hAnsi="Times New Roman"/>
          <w:sz w:val="22"/>
          <w:szCs w:val="22"/>
          <w:color w:val="auto"/>
        </w:rPr>
        <w:t>. You and the Company acknowledge and agree that following the date you execute this Letter Agreement, any portion of the Emergence Awards that vests will be settled in cash in an amount equal to 60% of the net after-tax value of each such award (the “</w:t>
      </w:r>
      <w:r>
        <w:rPr>
          <w:rFonts w:ascii="Times New Roman" w:cs="Times New Roman" w:eastAsia="Times New Roman" w:hAnsi="Times New Roman"/>
          <w:sz w:val="22"/>
          <w:szCs w:val="22"/>
          <w:u w:val="single" w:color="auto"/>
          <w:color w:val="auto"/>
        </w:rPr>
        <w:t>Cash-Settled Portion</w:t>
      </w:r>
      <w:r>
        <w:rPr>
          <w:rFonts w:ascii="Times New Roman" w:cs="Times New Roman" w:eastAsia="Times New Roman" w:hAnsi="Times New Roman"/>
          <w:sz w:val="22"/>
          <w:szCs w:val="22"/>
          <w:color w:val="auto"/>
        </w:rPr>
        <w:t>” and such settlement, subject to the terms below, the “</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xml:space="preserve">”), with the remainder being settled in shares of Company Common Stock in accordance with the applicable Award Agreements;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Fair Market Value (as defined in the Plan) of a share of Company Common Stock on the date of vesting of the Emergence Awards exceeds $400.00, the Cash-Settled Portion of the Emergence Awards will be no greater cash value in the aggregate than the Cash-Settled Portion that would result if the Fair Market Value of a share of Company Common Stock were equal to $400.00. Notwithstanding the foregoing, if the Compensation Committee of the Company’s Board of Directors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reasonably determines that the settlement of all or a portion of the Cash-Settled Portion of the Emergence Awards in cash would materially and adversely affect the Company (a “</w:t>
      </w:r>
      <w:r>
        <w:rPr>
          <w:rFonts w:ascii="Times New Roman" w:cs="Times New Roman" w:eastAsia="Times New Roman" w:hAnsi="Times New Roman"/>
          <w:sz w:val="22"/>
          <w:szCs w:val="22"/>
          <w:u w:val="single" w:color="auto"/>
          <w:color w:val="auto"/>
        </w:rPr>
        <w:t>Liquidity Constraint</w:t>
      </w:r>
      <w:r>
        <w:rPr>
          <w:rFonts w:ascii="Times New Roman" w:cs="Times New Roman" w:eastAsia="Times New Roman" w:hAnsi="Times New Roman"/>
          <w:sz w:val="22"/>
          <w:szCs w:val="22"/>
          <w:color w:val="auto"/>
        </w:rPr>
        <w:t>”), the Compensation Committee may elect to reduce the Cash-Settled Portion to the extent necessary to address the Liquidity Constraint.</w:t>
      </w:r>
    </w:p>
    <w:p>
      <w:pPr>
        <w:spacing w:after="0" w:line="184"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64"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Equity Treatment</w:t>
      </w:r>
      <w:r>
        <w:rPr>
          <w:rFonts w:ascii="Times New Roman" w:cs="Times New Roman" w:eastAsia="Times New Roman" w:hAnsi="Times New Roman"/>
          <w:sz w:val="22"/>
          <w:szCs w:val="22"/>
          <w:color w:val="auto"/>
        </w:rPr>
        <w:t>. You and the Company acknowledge and agree that, as of the Separation Date, all of your outstanding unvested restricted stock units and performance-based stock units granted pursuant to the 2025 RSU Award and the 2025 PSU Award will be automatically cancelled for no consideration without any further action by you or the Company Group in accordance with the applicable Award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09" w:name="page110"/>
    <w:bookmarkEnd w:id="109"/>
    <w:p>
      <w:pPr>
        <w:ind w:left="1040" w:hanging="384"/>
        <w:spacing w:after="0"/>
        <w:tabs>
          <w:tab w:leader="none" w:pos="1040"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Release Conditions; Forfeiture.</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0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Voluntary Execution</w:t>
      </w:r>
      <w:r>
        <w:rPr>
          <w:rFonts w:ascii="Times New Roman" w:cs="Times New Roman" w:eastAsia="Times New Roman" w:hAnsi="Times New Roman"/>
          <w:sz w:val="22"/>
          <w:szCs w:val="22"/>
          <w:color w:val="auto"/>
        </w:rPr>
        <w:t xml:space="preserve">. The Pro-Rata Bonus described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and the COBRA Benefit contemplated by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will only be provided to or retained by you (as applicable) if, within twenty-one (21) days following the Separation Date (but in any event no earlier than the Separation Date), you deliver to the Company the executed General Release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the General Release becomes effective and non-revocable in accordance with its terms (with the date on which the General Release first becomes effective and non-revocable, the “</w:t>
      </w:r>
      <w:r>
        <w:rPr>
          <w:rFonts w:ascii="Times New Roman" w:cs="Times New Roman" w:eastAsia="Times New Roman" w:hAnsi="Times New Roman"/>
          <w:sz w:val="22"/>
          <w:szCs w:val="22"/>
          <w:u w:val="single" w:color="auto"/>
          <w:color w:val="auto"/>
        </w:rPr>
        <w:t>Release Effective Date</w:t>
      </w:r>
      <w:r>
        <w:rPr>
          <w:rFonts w:ascii="Times New Roman" w:cs="Times New Roman" w:eastAsia="Times New Roman" w:hAnsi="Times New Roman"/>
          <w:sz w:val="22"/>
          <w:szCs w:val="22"/>
          <w:color w:val="auto"/>
        </w:rPr>
        <w:t>”). You understand that you may execute the General Release less than twenty-one (21) days after you receive it from the Company (but not before the Separation Date), but you agree that any such execution will represent your knowing waiver of any consideration period required by applicable law.</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45"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xml:space="preserve">. If the Company discovers that grounds for a cause termination existed prior to the Separation Date, if you breach any Restrictive Covenants (as defined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or if you do not reasonably provide the Transition Services, your eligibility to receive any unearned portion of the SA Payment described in </w:t>
      </w:r>
      <w:r>
        <w:rPr>
          <w:rFonts w:ascii="Times New Roman" w:cs="Times New Roman" w:eastAsia="Times New Roman" w:hAnsi="Times New Roman"/>
          <w:sz w:val="22"/>
          <w:szCs w:val="22"/>
          <w:u w:val="single" w:color="auto"/>
          <w:color w:val="auto"/>
        </w:rPr>
        <w:t>Section 1(d)</w:t>
      </w:r>
      <w:r>
        <w:rPr>
          <w:rFonts w:ascii="Times New Roman" w:cs="Times New Roman" w:eastAsia="Times New Roman" w:hAnsi="Times New Roman"/>
          <w:sz w:val="22"/>
          <w:szCs w:val="22"/>
          <w:color w:val="auto"/>
        </w:rPr>
        <w:t xml:space="preserve">, the Pro-Rata Bonus described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and the COBRA Benefit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will immediately cease and be forfeited.</w:t>
      </w:r>
    </w:p>
    <w:p>
      <w:pPr>
        <w:spacing w:after="0" w:line="175" w:lineRule="exact"/>
        <w:rPr>
          <w:rFonts w:ascii="Times New Roman" w:cs="Times New Roman" w:eastAsia="Times New Roman" w:hAnsi="Times New Roman"/>
          <w:sz w:val="22"/>
          <w:szCs w:val="22"/>
          <w:color w:val="auto"/>
        </w:rPr>
      </w:pPr>
    </w:p>
    <w:p>
      <w:pPr>
        <w:jc w:val="both"/>
        <w:ind w:firstLine="656"/>
        <w:spacing w:after="0" w:line="283" w:lineRule="auto"/>
        <w:tabs>
          <w:tab w:leader="none" w:pos="1053" w:val="left"/>
        </w:tabs>
        <w:numPr>
          <w:ilvl w:val="0"/>
          <w:numId w:val="1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Restrictive Covenants. </w:t>
      </w:r>
      <w:r>
        <w:rPr>
          <w:rFonts w:ascii="Times New Roman" w:cs="Times New Roman" w:eastAsia="Times New Roman" w:hAnsi="Times New Roman"/>
          <w:sz w:val="21"/>
          <w:szCs w:val="21"/>
          <w:color w:val="auto"/>
        </w:rPr>
        <w:t>You hereby acknowledge and agree that you will continue to be bound by, and you reaffirm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your obligations under, the restrictive covenants set forth in the Employment Agreement and any other written agreement by and between you, on the one hand, and the Company Group, on the other (collectively, the “</w:t>
      </w: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w:t>
      </w:r>
    </w:p>
    <w:p>
      <w:pPr>
        <w:spacing w:after="0" w:line="144" w:lineRule="exact"/>
        <w:rPr>
          <w:rFonts w:ascii="Times New Roman" w:cs="Times New Roman" w:eastAsia="Times New Roman" w:hAnsi="Times New Roman"/>
          <w:sz w:val="21"/>
          <w:szCs w:val="21"/>
          <w:b w:val="1"/>
          <w:bCs w:val="1"/>
          <w:color w:val="auto"/>
        </w:rPr>
      </w:pPr>
    </w:p>
    <w:p>
      <w:pPr>
        <w:jc w:val="both"/>
        <w:ind w:firstLine="656"/>
        <w:spacing w:after="0" w:line="248" w:lineRule="auto"/>
        <w:tabs>
          <w:tab w:leader="none" w:pos="1067"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Whistleblower Protection. </w:t>
      </w:r>
      <w:r>
        <w:rPr>
          <w:rFonts w:ascii="Times New Roman" w:cs="Times New Roman" w:eastAsia="Times New Roman" w:hAnsi="Times New Roman"/>
          <w:sz w:val="22"/>
          <w:szCs w:val="22"/>
          <w:color w:val="auto"/>
        </w:rPr>
        <w:t>You understand that nothing contained in this Letter Agreement or the General Release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limits your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(collectively, “</w:t>
      </w:r>
      <w:r>
        <w:rPr>
          <w:rFonts w:ascii="Times New Roman" w:cs="Times New Roman" w:eastAsia="Times New Roman" w:hAnsi="Times New Roman"/>
          <w:sz w:val="22"/>
          <w:szCs w:val="22"/>
          <w:u w:val="single" w:color="auto"/>
          <w:color w:val="auto"/>
        </w:rPr>
        <w:t>Government Agencies</w:t>
      </w:r>
      <w:r>
        <w:rPr>
          <w:rFonts w:ascii="Times New Roman" w:cs="Times New Roman" w:eastAsia="Times New Roman" w:hAnsi="Times New Roman"/>
          <w:sz w:val="22"/>
          <w:szCs w:val="22"/>
          <w:color w:val="auto"/>
        </w:rPr>
        <w:t>”); provided, that you may not receive any relief (including, without limitation, compensation, reinstatement, back pay, front pay, damages, attorneys’ or experts’ fees, costs, and/or disbursements) as a consequence of any such charge and/or any litigation arising out of any such charge to the fullest extent permitted by law. You further understand that neither this Letter Agreement nor the General Release limits your ability to (a) communicate with any Government Agencies or otherwise participate in any investigation or proceeding that may be conducted by any Government Agency, including providing documents or other information, without notice to the Company, or (b) make any other disclosures required by applicable law or legal process or other disclosures under the whistleblower provisions of federal law or regulation. This Letter Agreement does not limit your right to seek or receive an award for information provided to the Securities and Exchange Commission, including pursuant to Section 922 of the Dodd-Frank Wall Street Reform and Consumer Protection Act.</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65" w:lineRule="auto"/>
        <w:tabs>
          <w:tab w:leader="none" w:pos="1033"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Defend Trade Secrets Act. </w:t>
      </w:r>
      <w:r>
        <w:rPr>
          <w:rFonts w:ascii="Times New Roman" w:cs="Times New Roman" w:eastAsia="Times New Roman" w:hAnsi="Times New Roman"/>
          <w:sz w:val="22"/>
          <w:szCs w:val="22"/>
          <w:color w:val="auto"/>
        </w:rPr>
        <w:t>18 U.S.C. §1833(b) provides: “An individual shall not be held criminally or civilly liable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any Federal or State trade secret law for the disclosure of a trade secret that (A) is made (i) in confidence to a Federal, State, or 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8" w:right="339" w:bottom="1440" w:gutter="0" w:footer="0" w:header="0"/>
        </w:sectPr>
      </w:pPr>
    </w:p>
    <w:bookmarkStart w:id="110" w:name="page111"/>
    <w:bookmarkEnd w:id="110"/>
    <w:p>
      <w:pPr>
        <w:jc w:val="both"/>
        <w:spacing w:after="0" w:line="263" w:lineRule="auto"/>
        <w:rPr>
          <w:sz w:val="20"/>
          <w:szCs w:val="20"/>
          <w:color w:val="auto"/>
        </w:rPr>
      </w:pPr>
      <w:r>
        <w:rPr>
          <w:rFonts w:ascii="Times New Roman" w:cs="Times New Roman" w:eastAsia="Times New Roman" w:hAnsi="Times New Roman"/>
          <w:sz w:val="21"/>
          <w:szCs w:val="21"/>
          <w:color w:val="auto"/>
        </w:rPr>
        <w:t>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Letter Agreement is intended to conflict with 18 U.S.C. §1833(b) or create liability for disclosures of trade secrets that are expressly allowed by 18 U.S.C. §1833(b). Accordingly, the parties to this Letter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169" w:lineRule="exact"/>
        <w:rPr>
          <w:sz w:val="20"/>
          <w:szCs w:val="20"/>
          <w:color w:val="auto"/>
        </w:rPr>
      </w:pPr>
    </w:p>
    <w:p>
      <w:pPr>
        <w:jc w:val="both"/>
        <w:ind w:firstLine="656"/>
        <w:spacing w:after="0" w:line="265" w:lineRule="auto"/>
        <w:tabs>
          <w:tab w:leader="none" w:pos="1060"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Return of Company Property. </w:t>
      </w:r>
      <w:r>
        <w:rPr>
          <w:rFonts w:ascii="Times New Roman" w:cs="Times New Roman" w:eastAsia="Times New Roman" w:hAnsi="Times New Roman"/>
          <w:sz w:val="22"/>
          <w:szCs w:val="22"/>
          <w:color w:val="auto"/>
        </w:rPr>
        <w:t>On or prior to the Separation Date, you will return to the Company any originals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copies of any and all materials, documents, notes, manuals or lists containing or embodying confidential information, or relating directly or indirectly to the business of the Company Group then in your possession or control.</w:t>
      </w:r>
    </w:p>
    <w:p>
      <w:pPr>
        <w:spacing w:after="0" w:line="161" w:lineRule="exact"/>
        <w:rPr>
          <w:rFonts w:ascii="Times New Roman" w:cs="Times New Roman" w:eastAsia="Times New Roman" w:hAnsi="Times New Roman"/>
          <w:sz w:val="22"/>
          <w:szCs w:val="22"/>
          <w:b w:val="1"/>
          <w:bCs w:val="1"/>
          <w:color w:val="auto"/>
        </w:rPr>
      </w:pPr>
    </w:p>
    <w:p>
      <w:pPr>
        <w:jc w:val="both"/>
        <w:ind w:firstLine="656"/>
        <w:spacing w:after="0" w:line="253" w:lineRule="auto"/>
        <w:tabs>
          <w:tab w:leader="none" w:pos="1161"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Letter Agreement, the rights and obligations of the parties hereto and any claims or disputes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relating thereto will be governed by and construed exclusively in accordance with the laws of the State of Texas, without regard to the choice of law provisions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claims or disputes relating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will be governed by the Plan (and the Award Agreements thereunder), as applicable.</w:t>
      </w:r>
    </w:p>
    <w:p>
      <w:pPr>
        <w:spacing w:after="0" w:line="188"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435"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Entire Agreement. </w:t>
      </w:r>
      <w:r>
        <w:rPr>
          <w:rFonts w:ascii="Times New Roman" w:cs="Times New Roman" w:eastAsia="Times New Roman" w:hAnsi="Times New Roman"/>
          <w:sz w:val="22"/>
          <w:szCs w:val="22"/>
          <w:color w:val="auto"/>
        </w:rPr>
        <w:t>Except as otherwise expressly provided herein, this Letter Agreement constitutes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among you and the Company with respect to the subject matter hereof and supersedes any and all prior agreements or understandings among you and the Company with respect to the subject matter hereof, whether written or oral;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except as otherwise modified hereby, the Employment Agreement, the Award Agreements, and the Indemnification Agreement between you and the Company dated June 19, 2023, will remain in full force and effect. All other agreements between you and the Company, which are not specifically superseded by this Letter Agreement, will remain in full force and effect in accordance with their terms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For the avoidance of doubt, except as explicitly set forth herein, none of the Restrictive Covenants are superseded or otherwise amended, modified or affected by this Letter Agreement. This Letter Agreement will bind the heirs, personal representatives, successors and assigns of you and the Company Group and inure to the benefit of you and the Company Group and your and their respective heirs, successors and assigns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you may not assign your rights or obligations hereunder. This Letter Agreement may be amended or modified only by a written instrument executed by you and the Company.</w:t>
      </w:r>
    </w:p>
    <w:p>
      <w:pPr>
        <w:spacing w:after="0" w:line="184" w:lineRule="exact"/>
        <w:rPr>
          <w:rFonts w:ascii="Times New Roman" w:cs="Times New Roman" w:eastAsia="Times New Roman" w:hAnsi="Times New Roman"/>
          <w:sz w:val="22"/>
          <w:szCs w:val="22"/>
          <w:b w:val="1"/>
          <w:bCs w:val="1"/>
          <w:color w:val="auto"/>
        </w:rPr>
      </w:pPr>
    </w:p>
    <w:p>
      <w:pPr>
        <w:jc w:val="both"/>
        <w:ind w:firstLine="656"/>
        <w:spacing w:after="0" w:line="253" w:lineRule="auto"/>
        <w:tabs>
          <w:tab w:leader="none" w:pos="1273"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Counterparts &amp; Signatures. </w:t>
      </w:r>
      <w:r>
        <w:rPr>
          <w:rFonts w:ascii="Times New Roman" w:cs="Times New Roman" w:eastAsia="Times New Roman" w:hAnsi="Times New Roman"/>
          <w:sz w:val="22"/>
          <w:szCs w:val="22"/>
          <w:color w:val="auto"/>
        </w:rPr>
        <w:t>This Letter Agreement may be executed in counterparts, each of which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and together any counterparts will constitute one and the same instrument. Additionally, the parties agree that electronic reproductions of signatures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scanned PDF versions of original signatures, facsimile transmissions and the like) will be treated as original signatures for purposes of execution of this Letter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11" w:name="page112"/>
    <w:bookmarkEnd w:id="111"/>
    <w:p>
      <w:pPr>
        <w:ind w:firstLine="239"/>
        <w:spacing w:after="0" w:line="271" w:lineRule="auto"/>
        <w:rPr>
          <w:sz w:val="20"/>
          <w:szCs w:val="20"/>
          <w:color w:val="auto"/>
        </w:rPr>
      </w:pPr>
      <w:r>
        <w:rPr>
          <w:rFonts w:ascii="Times New Roman" w:cs="Times New Roman" w:eastAsia="Times New Roman" w:hAnsi="Times New Roman"/>
          <w:sz w:val="22"/>
          <w:szCs w:val="22"/>
          <w:color w:val="auto"/>
        </w:rPr>
        <w:t>If this Letter Agreement accurately reflects your understanding as to the terms and conditions set forth herein, please sign one copy of this Letter Agreement in the space provided below and return the same for the records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TALEN ENERGY CORPORATION</w:t>
      </w:r>
    </w:p>
    <w:p>
      <w:pPr>
        <w:spacing w:after="0" w:line="2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Andrew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434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Andrew Wright</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Administrative Officer</w:t>
      </w: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John 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428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2875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John Wander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Letter Agreement</w:t>
      </w:r>
      <w:r>
        <w:rPr>
          <w:rFonts w:ascii="Times New Roman" w:cs="Times New Roman" w:eastAsia="Times New Roman" w:hAnsi="Times New Roman"/>
          <w:sz w:val="22"/>
          <w:szCs w:val="22"/>
          <w:color w:val="auto"/>
        </w:rPr>
        <w:t>]</w:t>
      </w:r>
    </w:p>
    <w:p>
      <w:pPr>
        <w:sectPr>
          <w:pgSz w:w="11900" w:h="16838" w:orient="portrait"/>
          <w:cols w:equalWidth="0" w:num="1">
            <w:col w:w="11220"/>
          </w:cols>
          <w:pgMar w:left="320" w:top="1422" w:right="35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RELEASE</w:t>
      </w:r>
    </w:p>
    <w:p>
      <w:pPr>
        <w:spacing w:after="0" w:line="224" w:lineRule="exact"/>
        <w:rPr>
          <w:sz w:val="20"/>
          <w:szCs w:val="20"/>
          <w:color w:val="auto"/>
        </w:rPr>
      </w:pPr>
    </w:p>
    <w:p>
      <w:pPr>
        <w:jc w:val="both"/>
        <w:ind w:firstLine="335"/>
        <w:spacing w:after="0" w:line="256" w:lineRule="auto"/>
        <w:rPr>
          <w:sz w:val="20"/>
          <w:szCs w:val="20"/>
          <w:color w:val="auto"/>
        </w:rPr>
      </w:pPr>
      <w:r>
        <w:rPr>
          <w:rFonts w:ascii="Times New Roman" w:cs="Times New Roman" w:eastAsia="Times New Roman" w:hAnsi="Times New Roman"/>
          <w:sz w:val="22"/>
          <w:szCs w:val="22"/>
          <w:color w:val="auto"/>
        </w:rPr>
        <w:t>I, John Wander, in consideration of and subject to the performance by Talen Energy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of its obligations under the Letter Agreement, dated as of December 15, 2025 (the “</w:t>
      </w:r>
      <w:r>
        <w:rPr>
          <w:rFonts w:ascii="Times New Roman" w:cs="Times New Roman" w:eastAsia="Times New Roman" w:hAnsi="Times New Roman"/>
          <w:sz w:val="22"/>
          <w:szCs w:val="22"/>
          <w:u w:val="single" w:color="auto"/>
          <w:color w:val="auto"/>
        </w:rPr>
        <w:t>Letter Agreement</w:t>
      </w:r>
      <w:r>
        <w:rPr>
          <w:rFonts w:ascii="Times New Roman" w:cs="Times New Roman" w:eastAsia="Times New Roman" w:hAnsi="Times New Roman"/>
          <w:sz w:val="22"/>
          <w:szCs w:val="22"/>
          <w:color w:val="auto"/>
        </w:rPr>
        <w:t>”), am entering into this general release of claims (this “</w:t>
      </w:r>
      <w:r>
        <w:rPr>
          <w:rFonts w:ascii="Times New Roman" w:cs="Times New Roman" w:eastAsia="Times New Roman" w:hAnsi="Times New Roman"/>
          <w:sz w:val="22"/>
          <w:szCs w:val="22"/>
          <w:u w:val="single" w:color="auto"/>
          <w:color w:val="auto"/>
        </w:rPr>
        <w:t>General Release</w:t>
      </w:r>
      <w:r>
        <w:rPr>
          <w:rFonts w:ascii="Times New Roman" w:cs="Times New Roman" w:eastAsia="Times New Roman" w:hAnsi="Times New Roman"/>
          <w:sz w:val="22"/>
          <w:szCs w:val="22"/>
          <w:color w:val="auto"/>
        </w:rPr>
        <w:t>”) in connection with my separation from employment with the Company, and I hereby agree as follows:</w:t>
      </w:r>
    </w:p>
    <w:p>
      <w:pPr>
        <w:spacing w:after="0" w:line="176" w:lineRule="exact"/>
        <w:rPr>
          <w:sz w:val="20"/>
          <w:szCs w:val="20"/>
          <w:color w:val="auto"/>
        </w:rPr>
      </w:pPr>
    </w:p>
    <w:p>
      <w:pPr>
        <w:jc w:val="both"/>
        <w:ind w:firstLine="656"/>
        <w:spacing w:after="0" w:line="250" w:lineRule="auto"/>
        <w:tabs>
          <w:tab w:leader="none" w:pos="125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the Pro-Rata Bonus and the COBRA Benefit (each, as defined in the Letter Agreement) (collectively, the “</w:t>
      </w:r>
      <w:r>
        <w:rPr>
          <w:rFonts w:ascii="Times New Roman" w:cs="Times New Roman" w:eastAsia="Times New Roman" w:hAnsi="Times New Roman"/>
          <w:sz w:val="22"/>
          <w:szCs w:val="22"/>
          <w:u w:val="single" w:color="auto"/>
          <w:color w:val="auto"/>
        </w:rPr>
        <w:t>Termination Benefits</w:t>
      </w:r>
      <w:r>
        <w:rPr>
          <w:rFonts w:ascii="Times New Roman" w:cs="Times New Roman" w:eastAsia="Times New Roman" w:hAnsi="Times New Roman"/>
          <w:sz w:val="22"/>
          <w:szCs w:val="22"/>
          <w:color w:val="auto"/>
        </w:rPr>
        <w:t>”) represent, in part, consideration for signing this General Release and are not salary, wages or other payments or benefits to which I was already entitled. I understand and agree that I will receive or retain the Termination Benefits provided that I: (i) execute this General Release and do not revoke this General Release within the time period permitted hereafter and (ii) comply with the Letter Agreement, this General Release and the Restrictive Covenants at all times. Such consideration provided to me under the Letter Agreement will not be considered compensation for purposes of any employee benefit plan, program, policy or arrangement maintained or hereafter established by the Company Group (as defined in the Letter Agreement). I also acknowledge and represent that I have received all payments and benefits that I am entitled to receive (as of the date hereof) by virtue of any employment by the Company.</w:t>
      </w:r>
    </w:p>
    <w:p>
      <w:pPr>
        <w:spacing w:after="0" w:line="179" w:lineRule="exact"/>
        <w:rPr>
          <w:rFonts w:ascii="Times New Roman" w:cs="Times New Roman" w:eastAsia="Times New Roman" w:hAnsi="Times New Roman"/>
          <w:sz w:val="22"/>
          <w:szCs w:val="22"/>
          <w:color w:val="auto"/>
        </w:rPr>
      </w:pPr>
    </w:p>
    <w:p>
      <w:pPr>
        <w:jc w:val="both"/>
        <w:ind w:firstLine="656"/>
        <w:spacing w:after="0" w:line="247" w:lineRule="auto"/>
        <w:tabs>
          <w:tab w:leader="none" w:pos="103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paragraph 4 below and except for the provisions of the Letter Agreement that expressly survive the termination of my employment with the Company, I knowingly and voluntarily (for myself and my heirs, executors, administrators and assigns) release and forever discharge the Company Group (as defined in the Letter Agreement) and all present and former managers, directors, officers, agents, representatives, employees, successors and assigns of the Company Group and their direct and indirect owners (collectively, the “</w:t>
      </w:r>
      <w:r>
        <w:rPr>
          <w:rFonts w:ascii="Times New Roman" w:cs="Times New Roman" w:eastAsia="Times New Roman" w:hAnsi="Times New Roman"/>
          <w:sz w:val="22"/>
          <w:szCs w:val="22"/>
          <w:u w:val="single" w:color="auto"/>
          <w:color w:val="auto"/>
        </w:rPr>
        <w:t>Released Parties</w:t>
      </w:r>
      <w:r>
        <w:rPr>
          <w:rFonts w:ascii="Times New Roman" w:cs="Times New Roman" w:eastAsia="Times New Roman" w:hAnsi="Times New Roman"/>
          <w:sz w:val="22"/>
          <w:szCs w:val="22"/>
          <w:color w:val="auto"/>
        </w:rPr>
        <w:t>”)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I execute this General Release), and whether known or unknown, suspected or claimed against the Company or any of the Released Parties (collectively,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that I, my spouse or any of my heirs, executors, administrators or assigns may have, including, without limitation, any Claims (i) that arise out of or are connected with any matter, including my employment with, or my separation or termination from, the Company; (ii) that arise under Title VII of the Civil Rights Act of 1964, as amended; the Civil Rights Act of 1991; the Age Discrimination in Employment Act of 1967, as amended (including the Older Workers Benefit Protection Act) (“</w:t>
      </w:r>
      <w:r>
        <w:rPr>
          <w:rFonts w:ascii="Times New Roman" w:cs="Times New Roman" w:eastAsia="Times New Roman" w:hAnsi="Times New Roman"/>
          <w:sz w:val="22"/>
          <w:szCs w:val="22"/>
          <w:u w:val="single" w:color="auto"/>
          <w:color w:val="auto"/>
        </w:rPr>
        <w:t>ADEA</w:t>
      </w:r>
      <w:r>
        <w:rPr>
          <w:rFonts w:ascii="Times New Roman" w:cs="Times New Roman" w:eastAsia="Times New Roman" w:hAnsi="Times New Roman"/>
          <w:sz w:val="22"/>
          <w:szCs w:val="22"/>
          <w:color w:val="auto"/>
        </w:rPr>
        <w:t>”); the Equal Pay Act of 1963, as amended; the Americans with Disabilities Act of 1990; the Family and Medical Leave Act of 1993; the Worker Adjustment Retraining and Notification Act; the Employee Retirement Income Security Act of 1974; any applicable Executive Orders; the Fair Labor Standards Act; or their state or local counterparts; or under any other federal, state or local civil or human rights law, or under any other local, state or federal law, regulation or ordinance; or</w:t>
      </w:r>
    </w:p>
    <w:p>
      <w:pPr>
        <w:sectPr>
          <w:pgSz w:w="11900" w:h="16838" w:orient="portrait"/>
          <w:cols w:equalWidth="0" w:num="1">
            <w:col w:w="11240"/>
          </w:cols>
          <w:pgMar w:left="320" w:top="1418" w:right="339" w:bottom="1440" w:gutter="0" w:footer="0" w:header="0"/>
        </w:sectPr>
      </w:pPr>
    </w:p>
    <w:bookmarkStart w:id="113" w:name="page114"/>
    <w:bookmarkEnd w:id="113"/>
    <w:p>
      <w:pPr>
        <w:jc w:val="both"/>
        <w:spacing w:after="0" w:line="257" w:lineRule="auto"/>
        <w:rPr>
          <w:sz w:val="20"/>
          <w:szCs w:val="20"/>
          <w:color w:val="auto"/>
        </w:rPr>
      </w:pPr>
      <w:r>
        <w:rPr>
          <w:rFonts w:ascii="Times New Roman" w:cs="Times New Roman" w:eastAsia="Times New Roman" w:hAnsi="Times New Roman"/>
          <w:sz w:val="22"/>
          <w:szCs w:val="22"/>
          <w:color w:val="auto"/>
        </w:rPr>
        <w:t>under any public policy, contract or tort or under common law, including any Claim for wrongful discharge, breach of contract, infliction of emotional distress or defamation; (iii) that arise under any policies, practices or procedures of the Company; or (iv) for costs, fees or other expenses, including attorneys’ fees incurred in these matters.</w:t>
      </w:r>
    </w:p>
    <w:p>
      <w:pPr>
        <w:spacing w:after="0" w:line="186" w:lineRule="exact"/>
        <w:rPr>
          <w:sz w:val="20"/>
          <w:szCs w:val="20"/>
          <w:color w:val="auto"/>
        </w:rPr>
      </w:pPr>
    </w:p>
    <w:p>
      <w:pPr>
        <w:ind w:left="1040" w:hanging="384"/>
        <w:spacing w:after="0"/>
        <w:tabs>
          <w:tab w:leader="none" w:pos="104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represent that I have made no assignment or transfer of any Claim covered by paragraph 2 above.</w:t>
      </w:r>
    </w:p>
    <w:p>
      <w:pPr>
        <w:spacing w:after="0" w:line="219" w:lineRule="exact"/>
        <w:rPr>
          <w:rFonts w:ascii="Times New Roman" w:cs="Times New Roman" w:eastAsia="Times New Roman" w:hAnsi="Times New Roman"/>
          <w:sz w:val="22"/>
          <w:szCs w:val="22"/>
          <w:color w:val="auto"/>
        </w:rPr>
      </w:pPr>
    </w:p>
    <w:p>
      <w:pPr>
        <w:jc w:val="both"/>
        <w:ind w:firstLine="656"/>
        <w:spacing w:after="0" w:line="252" w:lineRule="auto"/>
        <w:tabs>
          <w:tab w:leader="none" w:pos="103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this General Release does not waive or release any rights or Claims that I may have under the ADEA that arise after the date I execute this General Release. I acknowledge and agree that my separation from employment with the Company is in compliance with the terms of the Letter Agreement and company policy and shall not serve as the basis for any Claim (including, without limitation, any Claim under the ADEA).</w:t>
      </w:r>
    </w:p>
    <w:p>
      <w:pPr>
        <w:spacing w:after="0" w:line="192" w:lineRule="exact"/>
        <w:rPr>
          <w:rFonts w:ascii="Times New Roman" w:cs="Times New Roman" w:eastAsia="Times New Roman" w:hAnsi="Times New Roman"/>
          <w:sz w:val="22"/>
          <w:szCs w:val="22"/>
          <w:color w:val="auto"/>
        </w:rPr>
      </w:pPr>
    </w:p>
    <w:p>
      <w:pPr>
        <w:jc w:val="both"/>
        <w:ind w:firstLine="656"/>
        <w:spacing w:after="0" w:line="247" w:lineRule="auto"/>
        <w:tabs>
          <w:tab w:leader="none" w:pos="1057"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Letter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applicable law.</w:t>
      </w:r>
    </w:p>
    <w:p>
      <w:pPr>
        <w:spacing w:after="0" w:line="190" w:lineRule="exact"/>
        <w:rPr>
          <w:rFonts w:ascii="Times New Roman" w:cs="Times New Roman" w:eastAsia="Times New Roman" w:hAnsi="Times New Roman"/>
          <w:sz w:val="22"/>
          <w:szCs w:val="22"/>
          <w:color w:val="auto"/>
        </w:rPr>
      </w:pPr>
    </w:p>
    <w:p>
      <w:pPr>
        <w:jc w:val="both"/>
        <w:ind w:firstLine="656"/>
        <w:spacing w:after="0" w:line="265" w:lineRule="auto"/>
        <w:tabs>
          <w:tab w:leader="none" w:pos="1053"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represent that I am not aware of any pending charge or complaint of the type described in paragraph 2 above as of the execution of this General Release. 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the release set forth in paragraph 2 above and which, if known or suspected at the time of entering into this General Release, may have materially affected this General Release and my decision to enter into it. Nevertheless, I hereby waive any Claim that might arise as a result of such different or additional Claims or facts.</w:t>
      </w:r>
    </w:p>
    <w:p>
      <w:pPr>
        <w:spacing w:after="0" w:line="182" w:lineRule="exact"/>
        <w:rPr>
          <w:rFonts w:ascii="Times New Roman" w:cs="Times New Roman" w:eastAsia="Times New Roman" w:hAnsi="Times New Roman"/>
          <w:sz w:val="21"/>
          <w:szCs w:val="21"/>
          <w:color w:val="auto"/>
        </w:rPr>
      </w:pPr>
    </w:p>
    <w:p>
      <w:pPr>
        <w:jc w:val="both"/>
        <w:ind w:firstLine="656"/>
        <w:spacing w:after="0" w:line="257" w:lineRule="auto"/>
        <w:tabs>
          <w:tab w:leader="none" w:pos="110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12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I will forfeit all unpaid or unprovided amounts and/or benefits payable or provided by the Company pursuant to the Letter Agreement if I challenge the validity of this General Release. I also agree that if I violate this General Release by suing the Company or the other Released Parties, I will pay all costs and expenses of defending against the suit incurred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22" w:right="339" w:bottom="1440" w:gutter="0" w:footer="0" w:header="0"/>
        </w:sectPr>
      </w:pPr>
    </w:p>
    <w:bookmarkStart w:id="114" w:name="page115"/>
    <w:bookmarkEnd w:id="114"/>
    <w:p>
      <w:pPr>
        <w:jc w:val="both"/>
        <w:spacing w:after="0" w:line="257" w:lineRule="auto"/>
        <w:rPr>
          <w:sz w:val="20"/>
          <w:szCs w:val="20"/>
          <w:color w:val="auto"/>
        </w:rPr>
      </w:pPr>
      <w:r>
        <w:rPr>
          <w:rFonts w:ascii="Times New Roman" w:cs="Times New Roman" w:eastAsia="Times New Roman" w:hAnsi="Times New Roman"/>
          <w:sz w:val="22"/>
          <w:szCs w:val="22"/>
          <w:color w:val="auto"/>
        </w:rPr>
        <w:t>the Released Parties, including attorneys’ fees, and upon the Company’s request, I will be required to return all amounts theretofore received by me pursuant to the Letter Agreement (other than the Cash Settlement (as defined in the Letter Agreement)).</w:t>
      </w:r>
    </w:p>
    <w:p>
      <w:pPr>
        <w:spacing w:after="0" w:line="186" w:lineRule="exact"/>
        <w:rPr>
          <w:sz w:val="20"/>
          <w:szCs w:val="20"/>
          <w:color w:val="auto"/>
        </w:rPr>
      </w:pPr>
    </w:p>
    <w:p>
      <w:pPr>
        <w:jc w:val="both"/>
        <w:ind w:firstLine="656"/>
        <w:spacing w:after="0" w:line="252" w:lineRule="auto"/>
        <w:tabs>
          <w:tab w:leader="none" w:pos="104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this General Release and the Letter Agreement are confidential and agree not to disclose any information regarding the terms of this General Release or the Letter Agreement, except to my immediate family and any tax, legal or other counsel I have consulted regarding the meaning or effect hereof or as required by law or legal process, and I will instruct each of the foregoing not to disclose the same to anyone.</w:t>
      </w:r>
    </w:p>
    <w:p>
      <w:pPr>
        <w:spacing w:after="0" w:line="179" w:lineRule="exact"/>
        <w:rPr>
          <w:rFonts w:ascii="Times New Roman" w:cs="Times New Roman" w:eastAsia="Times New Roman" w:hAnsi="Times New Roman"/>
          <w:sz w:val="22"/>
          <w:szCs w:val="22"/>
          <w:color w:val="auto"/>
        </w:rPr>
      </w:pPr>
    </w:p>
    <w:p>
      <w:pPr>
        <w:jc w:val="both"/>
        <w:ind w:firstLine="656"/>
        <w:spacing w:after="0" w:line="256" w:lineRule="auto"/>
        <w:tabs>
          <w:tab w:leader="none" w:pos="115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General Release prohibits or restricts me (or my attorney) from responding to any inquiry about this General Release or its underlying facts and circumstances by the Securities and Exchange Commission (SEC), the Financial Industry Regulatory Authority (FINRA), the National Association of Securities Dealers, Inc. (NASD), any other self- regulatory organization or governmental entity.</w:t>
      </w:r>
    </w:p>
    <w:p>
      <w:pPr>
        <w:spacing w:after="0" w:line="17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32"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as of the date hereof, I have returned to the Company any and all property, tangible or intangible, relating to its business, that I possessed or had control over at any time (including, but not limited to, Company-provided credit cards, building or office access cards, keys, computer equipment, manuals, files, documents, records, software, customer data base and other data) and that I shall not retain any copies, compilations, extracts, excerpts, summaries or other notes of any such manuals, files, documents, records, software, customer data base or other data.</w:t>
      </w:r>
    </w:p>
    <w:p>
      <w:pPr>
        <w:spacing w:after="0" w:line="178" w:lineRule="exact"/>
        <w:rPr>
          <w:rFonts w:ascii="Times New Roman" w:cs="Times New Roman" w:eastAsia="Times New Roman" w:hAnsi="Times New Roman"/>
          <w:sz w:val="22"/>
          <w:szCs w:val="22"/>
          <w:color w:val="auto"/>
        </w:rPr>
      </w:pPr>
    </w:p>
    <w:p>
      <w:pPr>
        <w:jc w:val="both"/>
        <w:ind w:firstLine="656"/>
        <w:spacing w:after="0" w:line="250" w:lineRule="auto"/>
        <w:tabs>
          <w:tab w:leader="none" w:pos="114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General Release to the contrary, this General Release shall not relinquish, diminish or in any way affect (a) any rights or Claims arising out of any breach by the Company or by any Released Party of the Letter Agreement after the date hereof; (b) any rights or Claims that cannot be waived by law; (c) any Claims I may have to workers’ compensation or unemployment benefits; (d) any vested 401(k) benefits under the Company’s 401(k) benefit plan; or (e) any rights I may have to indemnification pursuant to applicable D&amp;O policies (including those in the Company’s governing documents or under the Indemnification Agreement between you and the Company dated June 19, 2023) in accordance with their terms or as a stockholder of the Company.</w:t>
      </w:r>
    </w:p>
    <w:p>
      <w:pPr>
        <w:spacing w:after="0" w:line="180" w:lineRule="exact"/>
        <w:rPr>
          <w:rFonts w:ascii="Times New Roman" w:cs="Times New Roman" w:eastAsia="Times New Roman" w:hAnsi="Times New Roman"/>
          <w:sz w:val="22"/>
          <w:szCs w:val="22"/>
          <w:color w:val="auto"/>
        </w:rPr>
      </w:pPr>
    </w:p>
    <w:p>
      <w:pPr>
        <w:jc w:val="both"/>
        <w:ind w:firstLine="656"/>
        <w:spacing w:after="0" w:line="253" w:lineRule="auto"/>
        <w:tabs>
          <w:tab w:leader="none" w:pos="1137"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and unenforceability shall not affect any other provision or its validity and enforceability in any other jurisdiction, but this General Release shall be reformed, construed and enforced in such jurisdiction as if such invalid, illegal or unenforceable provision had never been contained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THIS GENERAL RELEASE, I REPRESENT AND AGREE THAT:</w:t>
      </w:r>
    </w:p>
    <w:p>
      <w:pPr>
        <w:spacing w:after="0" w:line="220" w:lineRule="exact"/>
        <w:rPr>
          <w:sz w:val="20"/>
          <w:szCs w:val="20"/>
          <w:color w:val="auto"/>
        </w:rPr>
      </w:pPr>
    </w:p>
    <w:p>
      <w:pPr>
        <w:ind w:left="420" w:hanging="412"/>
        <w:spacing w:after="0"/>
        <w:tabs>
          <w:tab w:leader="none" w:pos="42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 HAVE READ IT CAREFULLY;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22" w:right="339" w:bottom="1440" w:gutter="0" w:footer="0" w:header="0"/>
        </w:sectPr>
      </w:pPr>
    </w:p>
    <w:bookmarkStart w:id="115" w:name="page116"/>
    <w:bookmarkEnd w:id="115"/>
    <w:p>
      <w:pPr>
        <w:ind w:left="660" w:hanging="652"/>
        <w:spacing w:after="0" w:line="261" w:lineRule="auto"/>
        <w:tabs>
          <w:tab w:leader="none" w:pos="49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 UNDERSTAND ALL OF ITS TERMS AND KNOW THAT I AM GIVING UP IMPORTANT RIGHTS, INCLUDING, BUT NOT LIMITED TO, RIGHTS UNDER THE ADEA; TITLE VII OF THE CIVIL RIGHTS ACT OF 1964, AS AMENDED; THE EQUAL PAY ACT OF 1963; THE AMERICANS WITH DISABILITIES ACT OF 1990; AND THE EMPLOYEE RETIREMENT INCOME SECURITY ACT OF 1974, AS AMENDED;</w:t>
      </w:r>
    </w:p>
    <w:p>
      <w:pPr>
        <w:spacing w:after="0" w:line="168" w:lineRule="exact"/>
        <w:rPr>
          <w:rFonts w:ascii="Times New Roman" w:cs="Times New Roman" w:eastAsia="Times New Roman" w:hAnsi="Times New Roman"/>
          <w:sz w:val="20"/>
          <w:szCs w:val="20"/>
          <w:color w:val="auto"/>
        </w:rPr>
      </w:pPr>
    </w:p>
    <w:p>
      <w:pPr>
        <w:ind w:left="660" w:hanging="652"/>
        <w:spacing w:after="0" w:line="261" w:lineRule="auto"/>
        <w:tabs>
          <w:tab w:leader="none" w:pos="56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 AM ENTERING INTO THIS GENERAL RELEASE KNOWINGLY, VOLUNTARILY AND IN EXCHANGE FOR GOOD AND VALUABLE CONSIDERATION TO WHICH I WOULD NOT HAVE BEEN ENTITLED IN THE ABSENCE OF EXECUTING AND NOT REVOKING THIS GENERAL RELEASE (INCLUDING, WITHOUT LIMITATION, THE TERMINATION BENEFITS);</w:t>
      </w:r>
    </w:p>
    <w:p>
      <w:pPr>
        <w:spacing w:after="0" w:line="182" w:lineRule="exact"/>
        <w:rPr>
          <w:rFonts w:ascii="Times New Roman" w:cs="Times New Roman" w:eastAsia="Times New Roman" w:hAnsi="Times New Roman"/>
          <w:sz w:val="20"/>
          <w:szCs w:val="20"/>
          <w:color w:val="auto"/>
        </w:rPr>
      </w:pPr>
    </w:p>
    <w:p>
      <w:pPr>
        <w:ind w:left="660" w:right="20" w:hanging="652"/>
        <w:spacing w:after="0" w:line="270" w:lineRule="auto"/>
        <w:tabs>
          <w:tab w:leader="none" w:pos="481"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 HAVE BEEN ADVISED TO CONSULT WITH AN ATTORNEY BEFORE EXECUTING IT AND I HAVE DONE SO OR, AFTER CAREFUL READING AND CONSIDERATION, I HAVE CHOSEN NOT TO DO SO OF MY OWN VOLITION;</w:t>
      </w:r>
    </w:p>
    <w:p>
      <w:pPr>
        <w:spacing w:after="0" w:line="158" w:lineRule="exact"/>
        <w:rPr>
          <w:rFonts w:ascii="Times New Roman" w:cs="Times New Roman" w:eastAsia="Times New Roman" w:hAnsi="Times New Roman"/>
          <w:sz w:val="20"/>
          <w:szCs w:val="20"/>
          <w:color w:val="auto"/>
        </w:rPr>
      </w:pPr>
    </w:p>
    <w:p>
      <w:pPr>
        <w:ind w:left="660" w:hanging="652"/>
        <w:spacing w:after="0" w:line="261" w:lineRule="auto"/>
        <w:tabs>
          <w:tab w:leader="none" w:pos="56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 HAVE HAD AT LEAST TWENTY-ONE (21) DAYS FROM THE DATE OF MY RECEIPT OF THIS GENERAL RELEASE TO CONSIDER IT AND THE CHANGES MADE SINCE MY RECEIPT OF THIS GENERAL RELEASE ARE NOT MATERIAL OR WERE MADE AT MY REQUEST AND WILL NOT RESTART THE REQUIRED TWENTY-ONE (21)-DAY PERIOD;</w:t>
      </w:r>
    </w:p>
    <w:p>
      <w:pPr>
        <w:spacing w:after="0" w:line="182" w:lineRule="exact"/>
        <w:rPr>
          <w:rFonts w:ascii="Times New Roman" w:cs="Times New Roman" w:eastAsia="Times New Roman" w:hAnsi="Times New Roman"/>
          <w:sz w:val="20"/>
          <w:szCs w:val="20"/>
          <w:color w:val="auto"/>
        </w:rPr>
      </w:pPr>
    </w:p>
    <w:p>
      <w:pPr>
        <w:ind w:left="660" w:hanging="652"/>
        <w:spacing w:after="0" w:line="263" w:lineRule="auto"/>
        <w:tabs>
          <w:tab w:leader="none" w:pos="502"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 UNDERSTAND THAT I HAVE SEVEN (7) DAYS AFTER THE EXECUTION OF THIS GENERAL RELEASE TO REVOKE IT. SUCH REVOCATION MUST BE IN WRITING AND SENT VIA EMAIL TO ANDREW WRIGHT AT ANDREW.WRIGHT@TALENENERGY.COM. THIS GENERAL RELEASE SHALL BECOME EFFECTIVE AND ENFORCEABLE ON THE EIGHT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CALENDAR DAY AFTER I EXECUTE IT; AND</w:t>
      </w:r>
    </w:p>
    <w:p>
      <w:pPr>
        <w:spacing w:after="0" w:line="84" w:lineRule="exact"/>
        <w:rPr>
          <w:rFonts w:ascii="Times New Roman" w:cs="Times New Roman" w:eastAsia="Times New Roman" w:hAnsi="Times New Roman"/>
          <w:sz w:val="20"/>
          <w:szCs w:val="20"/>
          <w:color w:val="auto"/>
        </w:rPr>
      </w:pPr>
    </w:p>
    <w:p>
      <w:pPr>
        <w:ind w:left="660" w:hanging="652"/>
        <w:spacing w:after="0" w:line="263" w:lineRule="auto"/>
        <w:tabs>
          <w:tab w:leader="none" w:pos="44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 AGREE THAT THE PROVISIONS OF THIS GENERAL RELEASE MAY NOT BE AMENDED, WAIVED, CHANGED OR MODIFIED EXCEPT BY AN INSTRUMENT IN WRITING SIGNED BY AN AUTHORIZED REPRESENTATIVE OF THE COMPANY AND BY ME.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 NOT SIGN BEFORE THE SEPARATION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SIGNED:</w:t>
      </w:r>
      <w:r>
        <w:rPr>
          <w:sz w:val="20"/>
          <w:szCs w:val="20"/>
          <w:color w:val="auto"/>
        </w:rPr>
        <w:tab/>
      </w: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-13970</wp:posOffset>
            </wp:positionV>
            <wp:extent cx="822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-13970</wp:posOffset>
            </wp:positionV>
            <wp:extent cx="5486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John Wander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22"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920"/>
        <w:spacing w:after="0"/>
        <w:rPr>
          <w:sz w:val="20"/>
          <w:szCs w:val="20"/>
          <w:color w:val="auto"/>
        </w:rPr>
      </w:pPr>
      <w:r>
        <w:rPr>
          <w:rFonts w:ascii="Arial" w:cs="Arial" w:eastAsia="Arial" w:hAnsi="Arial"/>
          <w:sz w:val="16"/>
          <w:szCs w:val="16"/>
          <w:b w:val="1"/>
          <w:bCs w:val="1"/>
          <w:color w:val="auto"/>
        </w:rPr>
        <w:t>Talen Energy Announces Strategic Realignment of Executive Management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HOUSTON, December 15, 2025 </w:t>
      </w:r>
      <w:r>
        <w:rPr>
          <w:rFonts w:ascii="Arial" w:cs="Arial" w:eastAsia="Arial" w:hAnsi="Arial"/>
          <w:sz w:val="16"/>
          <w:szCs w:val="16"/>
          <w:color w:val="auto"/>
        </w:rPr>
        <w:t>— Talen Energy Corporation</w:t>
      </w:r>
      <w:r>
        <w:rPr>
          <w:rFonts w:ascii="Arial" w:cs="Arial" w:eastAsia="Arial" w:hAnsi="Arial"/>
          <w:sz w:val="16"/>
          <w:szCs w:val="16"/>
          <w:b w:val="1"/>
          <w:bCs w:val="1"/>
          <w:color w:val="auto"/>
        </w:rPr>
        <w:t xml:space="preserve"> (“Talen,” the “Company,” “we,” or “our”) </w:t>
      </w:r>
      <w:r>
        <w:rPr>
          <w:rFonts w:ascii="Arial" w:cs="Arial" w:eastAsia="Arial" w:hAnsi="Arial"/>
          <w:sz w:val="16"/>
          <w:szCs w:val="16"/>
          <w:color w:val="auto"/>
        </w:rPr>
        <w:t>(</w:t>
      </w:r>
      <w:r>
        <w:rPr>
          <w:rFonts w:ascii="Arial" w:cs="Arial" w:eastAsia="Arial" w:hAnsi="Arial"/>
          <w:sz w:val="16"/>
          <w:szCs w:val="16"/>
          <w:u w:val="single" w:color="auto"/>
          <w:color w:val="0E32E1"/>
        </w:rPr>
        <w:t>NASDAQ: TLN</w:t>
      </w:r>
      <w:r>
        <w:rPr>
          <w:rFonts w:ascii="Arial" w:cs="Arial" w:eastAsia="Arial" w:hAnsi="Arial"/>
          <w:sz w:val="16"/>
          <w:szCs w:val="16"/>
          <w:color w:val="auto"/>
        </w:rPr>
        <w:t>), a leading independent power</w:t>
      </w:r>
    </w:p>
    <w:p>
      <w:pPr>
        <w:spacing w:after="0" w:line="35" w:lineRule="exact"/>
        <w:rPr>
          <w:sz w:val="20"/>
          <w:szCs w:val="20"/>
          <w:color w:val="auto"/>
        </w:rPr>
      </w:pPr>
    </w:p>
    <w:p>
      <w:pPr>
        <w:ind w:right="520"/>
        <w:spacing w:after="0" w:line="265" w:lineRule="auto"/>
        <w:rPr>
          <w:sz w:val="20"/>
          <w:szCs w:val="20"/>
          <w:color w:val="auto"/>
        </w:rPr>
      </w:pPr>
      <w:r>
        <w:rPr>
          <w:rFonts w:ascii="Arial" w:cs="Arial" w:eastAsia="Arial" w:hAnsi="Arial"/>
          <w:sz w:val="16"/>
          <w:szCs w:val="16"/>
          <w:color w:val="auto"/>
        </w:rPr>
        <w:t>producer, announced today that its Board of Directors (the “Board”) approved several changes to Talen’s executive management team to align with its business strategy and provide continuity of leadership.</w:t>
      </w:r>
    </w:p>
    <w:p>
      <w:pPr>
        <w:spacing w:after="0" w:line="131"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“The Board has been laser focused on creating and preserving shareholder value by ensuring continuity of leadership and personal growth opportunities for our entire team. As such, I am extremely pleased to announce these leadership transitions that allow us to retain the management team. The Board has complete confidence in Talen’s executive team to continue building on the successes of the past several years and look forward to the continued value that the entire Talen team will deliver to the Company’s stakeholders,” said Stephen Schaefer, Chairman of the Board.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Effective immediately:</w:t>
      </w:r>
    </w:p>
    <w:p>
      <w:pPr>
        <w:spacing w:after="0" w:line="181" w:lineRule="exact"/>
        <w:rPr>
          <w:sz w:val="20"/>
          <w:szCs w:val="20"/>
          <w:color w:val="auto"/>
        </w:rPr>
      </w:pPr>
    </w:p>
    <w:p>
      <w:pPr>
        <w:ind w:left="660" w:right="280" w:hanging="328"/>
        <w:spacing w:after="0" w:line="286" w:lineRule="auto"/>
        <w:tabs>
          <w:tab w:leader="none" w:pos="65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Mac McFarland will continue in his role as the Company’s Chief Executive Officer (responsible for the overall strategic direction of the Company) and a member of the Board;</w:t>
      </w:r>
    </w:p>
    <w:p>
      <w:pPr>
        <w:spacing w:after="0" w:line="101" w:lineRule="exact"/>
        <w:rPr>
          <w:rFonts w:ascii="Arial" w:cs="Arial" w:eastAsia="Arial" w:hAnsi="Arial"/>
          <w:sz w:val="16"/>
          <w:szCs w:val="16"/>
          <w:color w:val="auto"/>
        </w:rPr>
      </w:pPr>
    </w:p>
    <w:p>
      <w:pPr>
        <w:ind w:left="660" w:right="600" w:hanging="328"/>
        <w:spacing w:after="0" w:line="304" w:lineRule="auto"/>
        <w:tabs>
          <w:tab w:leader="none" w:pos="65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Terry L. Nutt has been appointed President of the Company (responsible for the daily operations of the Company’s business, including plant operations, commercial activities, administrative functions, regulatory and other external stakeholder engagements); and</w:t>
      </w:r>
    </w:p>
    <w:p>
      <w:pPr>
        <w:spacing w:after="0" w:line="87" w:lineRule="exact"/>
        <w:rPr>
          <w:rFonts w:ascii="Arial" w:cs="Arial" w:eastAsia="Arial" w:hAnsi="Arial"/>
          <w:sz w:val="16"/>
          <w:szCs w:val="16"/>
          <w:color w:val="auto"/>
        </w:rPr>
      </w:pPr>
    </w:p>
    <w:p>
      <w:pPr>
        <w:ind w:left="660" w:right="100" w:hanging="328"/>
        <w:spacing w:after="0" w:line="286" w:lineRule="auto"/>
        <w:tabs>
          <w:tab w:leader="none" w:pos="65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Cole Muller has been appointed Chief Financial Officer of the Company (responsible for accounting, treasury, risk management, financial planning, investor relations, tax and internal controls).</w:t>
      </w:r>
    </w:p>
    <w:p>
      <w:pPr>
        <w:spacing w:after="0" w:line="115" w:lineRule="exact"/>
        <w:rPr>
          <w:sz w:val="20"/>
          <w:szCs w:val="20"/>
          <w:color w:val="auto"/>
        </w:rPr>
      </w:pPr>
    </w:p>
    <w:p>
      <w:pPr>
        <w:ind w:right="60" w:firstLine="324"/>
        <w:spacing w:after="0" w:line="261" w:lineRule="auto"/>
        <w:rPr>
          <w:sz w:val="20"/>
          <w:szCs w:val="20"/>
          <w:color w:val="auto"/>
        </w:rPr>
      </w:pPr>
      <w:r>
        <w:rPr>
          <w:rFonts w:ascii="Arial" w:cs="Arial" w:eastAsia="Arial" w:hAnsi="Arial"/>
          <w:sz w:val="16"/>
          <w:szCs w:val="16"/>
          <w:color w:val="auto"/>
        </w:rPr>
        <w:t>“I appreciate the confidence that the Board has in the team, and I’m excited about Talen’s future. We believe our talented team will build on our successes and capitalize on the opportunities in front of us. In Terry’s new role, he brings extensive knowledge of the industry and commodity markets given his prior experience. He is highly respected both inside and outside of Talen and has been a good partner to me. Additionally, Cole brings a strong financial and analytical presence to the CFO role. He is a fixture with the investment community, having been a large part of our investor outreach over the past two years. Both will serve Talen’s stakeholders well in their new roles, and I look forward to focusing on strategy and execution of the Talen flywheel,” said Mac McFarland.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the Company announced that:</w:t>
      </w:r>
    </w:p>
    <w:p>
      <w:pPr>
        <w:spacing w:after="0" w:line="181" w:lineRule="exact"/>
        <w:rPr>
          <w:sz w:val="20"/>
          <w:szCs w:val="20"/>
          <w:color w:val="auto"/>
        </w:rPr>
      </w:pPr>
    </w:p>
    <w:p>
      <w:pPr>
        <w:ind w:left="660" w:right="80" w:hanging="328"/>
        <w:spacing w:after="0" w:line="286" w:lineRule="auto"/>
        <w:tabs>
          <w:tab w:leader="none" w:pos="64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Brad Berryman will assume the role of Chief Operating Officer of the Company (responsible for operations of Talen’s entire power generation fleet), effective immediately,</w:t>
      </w:r>
    </w:p>
    <w:p>
      <w:pPr>
        <w:spacing w:after="0" w:line="101" w:lineRule="exact"/>
        <w:rPr>
          <w:rFonts w:ascii="Arial" w:cs="Arial" w:eastAsia="Arial" w:hAnsi="Arial"/>
          <w:sz w:val="16"/>
          <w:szCs w:val="16"/>
          <w:color w:val="auto"/>
        </w:rPr>
      </w:pPr>
    </w:p>
    <w:p>
      <w:pPr>
        <w:ind w:left="660" w:right="100" w:hanging="328"/>
        <w:spacing w:after="0" w:line="304" w:lineRule="auto"/>
        <w:tabs>
          <w:tab w:leader="none" w:pos="64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Ed Casulli will assume the role of Chief Nuclear Officer of the Company (responsible for operations of Talen’s Susquehanna nuclear power facility), effective immediately;</w:t>
      </w:r>
    </w:p>
    <w:p>
      <w:pPr>
        <w:spacing w:after="0" w:line="87" w:lineRule="exact"/>
        <w:rPr>
          <w:rFonts w:ascii="Arial" w:cs="Arial" w:eastAsia="Arial" w:hAnsi="Arial"/>
          <w:sz w:val="16"/>
          <w:szCs w:val="16"/>
          <w:color w:val="auto"/>
        </w:rPr>
      </w:pPr>
    </w:p>
    <w:p>
      <w:pPr>
        <w:ind w:left="660" w:right="100" w:hanging="328"/>
        <w:spacing w:after="0" w:line="304" w:lineRule="auto"/>
        <w:tabs>
          <w:tab w:leader="none" w:pos="64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Dale Lebsack will assume the role of Chief Asset Development Officer of the Company (responsible for assessing, designing and constructing new generation assets for Talen, as well as developing site opportunities for new generation and large load interconnections), effective immediately;</w:t>
      </w:r>
    </w:p>
    <w:p>
      <w:pPr>
        <w:spacing w:after="0" w:line="87" w:lineRule="exact"/>
        <w:rPr>
          <w:rFonts w:ascii="Arial" w:cs="Arial" w:eastAsia="Arial" w:hAnsi="Arial"/>
          <w:sz w:val="16"/>
          <w:szCs w:val="16"/>
          <w:color w:val="auto"/>
        </w:rPr>
      </w:pPr>
    </w:p>
    <w:p>
      <w:pPr>
        <w:ind w:left="660" w:right="140" w:hanging="328"/>
        <w:spacing w:after="0" w:line="286" w:lineRule="auto"/>
        <w:tabs>
          <w:tab w:leader="none" w:pos="64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Darren Olagues will continue as the Company’s Chief Development Officer (maintaining responsibility for corporate strategy and M&amp;A activity, and expanding to oversee data center commercial strategies);</w:t>
      </w:r>
    </w:p>
    <w:p>
      <w:pPr>
        <w:spacing w:after="0" w:line="115" w:lineRule="exact"/>
        <w:rPr>
          <w:rFonts w:ascii="Arial" w:cs="Arial" w:eastAsia="Arial" w:hAnsi="Arial"/>
          <w:sz w:val="16"/>
          <w:szCs w:val="16"/>
          <w:color w:val="auto"/>
        </w:rPr>
      </w:pPr>
    </w:p>
    <w:p>
      <w:pPr>
        <w:ind w:left="660" w:right="420" w:hanging="328"/>
        <w:spacing w:after="0" w:line="286" w:lineRule="auto"/>
        <w:tabs>
          <w:tab w:leader="none" w:pos="64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Chris Morice will continue as the Company’s Chief Commercial Officer (responsible for the Company’s hedging and trading activities across all commodities and commercial origination efforts);</w:t>
      </w:r>
    </w:p>
    <w:p>
      <w:pPr>
        <w:spacing w:after="0" w:line="115" w:lineRule="exact"/>
        <w:rPr>
          <w:rFonts w:ascii="Arial" w:cs="Arial" w:eastAsia="Arial" w:hAnsi="Arial"/>
          <w:sz w:val="16"/>
          <w:szCs w:val="16"/>
          <w:color w:val="auto"/>
        </w:rPr>
      </w:pPr>
    </w:p>
    <w:p>
      <w:pPr>
        <w:ind w:left="660" w:right="220" w:hanging="328"/>
        <w:spacing w:after="0" w:line="286" w:lineRule="auto"/>
        <w:tabs>
          <w:tab w:leader="none" w:pos="64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Andy Wright will continue as the Company’s Chief Administrative Officer (responsible for human resources, information technology and corporate security); and</w:t>
      </w:r>
    </w:p>
    <w:p>
      <w:pPr>
        <w:spacing w:after="0" w:line="101" w:lineRule="exact"/>
        <w:rPr>
          <w:rFonts w:ascii="Arial" w:cs="Arial" w:eastAsia="Arial" w:hAnsi="Arial"/>
          <w:sz w:val="16"/>
          <w:szCs w:val="16"/>
          <w:color w:val="auto"/>
        </w:rPr>
      </w:pPr>
    </w:p>
    <w:p>
      <w:pPr>
        <w:ind w:left="660" w:right="160" w:hanging="328"/>
        <w:spacing w:after="0" w:line="275" w:lineRule="auto"/>
        <w:tabs>
          <w:tab w:leader="none" w:pos="64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John Wander, the Company’s General Counsel and Corporate Secretary, has notified the Company of his intent to retire at the end of June 2026. Mr. Wander will continue to provide oversight of the Company’s legal functions until retirement, and the Company will conduct a search process to identify Mr. Wander’s replacement.</w:t>
      </w:r>
    </w:p>
    <w:p>
      <w:pPr>
        <w:spacing w:after="0" w:line="110" w:lineRule="exact"/>
        <w:rPr>
          <w:sz w:val="20"/>
          <w:szCs w:val="20"/>
          <w:color w:val="auto"/>
        </w:rPr>
      </w:pPr>
    </w:p>
    <w:p>
      <w:pPr>
        <w:ind w:right="260" w:firstLine="324"/>
        <w:spacing w:after="0" w:line="304" w:lineRule="auto"/>
        <w:rPr>
          <w:sz w:val="20"/>
          <w:szCs w:val="20"/>
          <w:color w:val="auto"/>
        </w:rPr>
      </w:pPr>
      <w:r>
        <w:rPr>
          <w:rFonts w:ascii="Arial" w:cs="Arial" w:eastAsia="Arial" w:hAnsi="Arial"/>
          <w:sz w:val="16"/>
          <w:szCs w:val="16"/>
          <w:color w:val="auto"/>
        </w:rPr>
        <w:t>“We want to thank John Wander for his leadership and tireless efforts these past three years and wish him well in his upcoming retirement,” Schaefer said.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sectPr>
      </w:pPr>
    </w:p>
    <w:bookmarkStart w:id="117" w:name="page118"/>
    <w:bookmarkEnd w:id="117"/>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Nutt and Muller Biographies</w:t>
      </w:r>
    </w:p>
    <w:p>
      <w:pPr>
        <w:spacing w:after="0" w:line="167"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Mr. Nutt served as Chief Financial Officer of the Company from July 2023 through his appointment as President. He has over 25 years of experience in the energy industry, including time spent at independent power producers and energy trading firms. From 2018 until 2023, he served as Chief Financial Officer and Managing Director for EDF Trading North America (“EDF”), the energy commodity trading subsidiary of Électricité de France (EDF) S.A., a multinational energy utility headquartered in France. Prior to his service at EDF, Mr. Nutt served in multiple senior finance positions at Vistra Corporation (and its predecessor entities) (“Vistra”), including as Senior Vice President and Controller and Senior Vice President of Risk Management. Prior to his time at Vistra, Mr. Nutt worked in various finance roles at Dynegy Inc. Mr. Nutt earned his M.S. in Accounting and his B.B.A., summa cum laude, from Texas A&amp;M University.</w:t>
      </w:r>
    </w:p>
    <w:p>
      <w:pPr>
        <w:spacing w:after="0" w:line="320"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Mr. Muller most recently served as the Company’s Executive Vice President, Strategic Ventures prior to his appointment as Chief Financial Officer. Mr. Muller has been responsible for leading the Company’s strategic direction related to digital infrastructure development and data center contracting. Prior to that, he led the Company’s PJM Fossil business unit, where he was responsible for the Company’s eight gigawatts of PJM generation assets. Before joining the Company in 2018, he was an Associate Partner for McKinsey &amp; Co., advising energy clients, including the Company, on strategic opportunities and operational transformations. He also previously served as a submarine officer in the U.S. Navy. A graduate of the U.S. Naval Academy, Mr. Muller holds a Bachelor of Science degree in Mathematics. He received his MBA from The Wharton School, and his JD from the University of Pennsylvania.</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 and May 2026 Equity Award Settlement</w:t>
      </w:r>
    </w:p>
    <w:p>
      <w:pPr>
        <w:spacing w:after="0" w:line="181" w:lineRule="exact"/>
        <w:rPr>
          <w:sz w:val="20"/>
          <w:szCs w:val="20"/>
          <w:color w:val="auto"/>
        </w:rPr>
      </w:pPr>
    </w:p>
    <w:p>
      <w:pPr>
        <w:jc w:val="both"/>
        <w:ind w:right="240" w:firstLine="324"/>
        <w:spacing w:after="0" w:line="265" w:lineRule="auto"/>
        <w:rPr>
          <w:sz w:val="20"/>
          <w:szCs w:val="20"/>
          <w:color w:val="auto"/>
        </w:rPr>
      </w:pPr>
      <w:r>
        <w:rPr>
          <w:rFonts w:ascii="Arial" w:cs="Arial" w:eastAsia="Arial" w:hAnsi="Arial"/>
          <w:sz w:val="16"/>
          <w:szCs w:val="16"/>
          <w:color w:val="auto"/>
        </w:rPr>
        <w:t>In connection with these leadership changes. Messrs. McFarland, Nutt, Muller, Wright, Berryman, Morice, Lebsack and Olagues all entered into new employment agreements that replace the existing agreements that were generally set to terminate in May 2026. These agreements contain an initial term through February 28, 2027 (subject to automatic annual renewals thereafter unless the executive or the Company provide 90 days’ written notice of their intent not to extend the term).</w:t>
      </w:r>
    </w:p>
    <w:p>
      <w:pPr>
        <w:spacing w:after="0" w:line="119"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As part of the Company’s retention planning efforts, the employment agreements contain a provision that allows up to 60% of the performance stock units and time-based restricted stock units that were granted in connection with the Company’s emergence from restructuring (the “Emergence Awards”) to be settled in cash based on the Company’s share price at the time of vesting in May 2026 (the “Cash Settlement”). The impact of this provision is expected to have a significant anti-dilutive effect on the number of Talen shares issued and outstanding in the public market. In consideration for the Cash Settlement, each executive has agreed to a further lock-up of any shares of Talen common stock received in the settlement of the Emergence Awards through November 13, 2026.</w:t>
      </w:r>
    </w:p>
    <w:p>
      <w:pPr>
        <w:spacing w:after="0" w:line="136" w:lineRule="exact"/>
        <w:rPr>
          <w:sz w:val="20"/>
          <w:szCs w:val="20"/>
          <w:color w:val="auto"/>
        </w:rPr>
      </w:pPr>
    </w:p>
    <w:p>
      <w:pPr>
        <w:ind w:right="240" w:firstLine="324"/>
        <w:spacing w:after="0" w:line="265" w:lineRule="auto"/>
        <w:rPr>
          <w:sz w:val="20"/>
          <w:szCs w:val="20"/>
          <w:color w:val="auto"/>
        </w:rPr>
      </w:pPr>
      <w:r>
        <w:rPr>
          <w:rFonts w:ascii="Arial" w:cs="Arial" w:eastAsia="Arial" w:hAnsi="Arial"/>
          <w:sz w:val="16"/>
          <w:szCs w:val="16"/>
          <w:color w:val="auto"/>
        </w:rPr>
        <w:t>For illustrative purposes, utilizing an assumed stock price of $400 per share on the vesting date and a 60% post-tax Cash Settlement for certain plan participants, Talen would settle all of the plan participants’ vested Emergence Awards in approximately $388 million in cash for withholding taxes, $369 million in Cash Settlement and approximately 680,000 shares of Talen stock (as compared to issuing approximately 2,573,000 shares of Talen stock (inclusive of withholding taxes) if the Emergence Awards were not partially cash settled).</w:t>
      </w:r>
    </w:p>
    <w:p>
      <w:pPr>
        <w:spacing w:after="0" w:line="119" w:lineRule="exact"/>
        <w:rPr>
          <w:sz w:val="20"/>
          <w:szCs w:val="20"/>
          <w:color w:val="auto"/>
        </w:rPr>
      </w:pPr>
    </w:p>
    <w:p>
      <w:pPr>
        <w:ind w:right="280" w:firstLine="324"/>
        <w:spacing w:after="0" w:line="304" w:lineRule="auto"/>
        <w:rPr>
          <w:sz w:val="20"/>
          <w:szCs w:val="20"/>
          <w:color w:val="auto"/>
        </w:rPr>
      </w:pPr>
      <w:r>
        <w:rPr>
          <w:rFonts w:ascii="Arial" w:cs="Arial" w:eastAsia="Arial" w:hAnsi="Arial"/>
          <w:sz w:val="16"/>
          <w:szCs w:val="16"/>
          <w:color w:val="auto"/>
        </w:rPr>
        <w:t>The Cash Settlement is subject to the ability of the Compensation Committee of the Board (the “Committee”) to modify the portion of the Emergence Awards that is cash-settled if the Committee determines that cash settlement would materially and adversely affect the Company.</w:t>
      </w:r>
    </w:p>
    <w:p>
      <w:pPr>
        <w:spacing w:after="0" w:line="87" w:lineRule="exact"/>
        <w:rPr>
          <w:sz w:val="20"/>
          <w:szCs w:val="20"/>
          <w:color w:val="auto"/>
        </w:rPr>
      </w:pPr>
    </w:p>
    <w:p>
      <w:pPr>
        <w:ind w:right="120" w:firstLine="324"/>
        <w:spacing w:after="0" w:line="265" w:lineRule="auto"/>
        <w:rPr>
          <w:sz w:val="20"/>
          <w:szCs w:val="20"/>
          <w:color w:val="auto"/>
        </w:rPr>
      </w:pPr>
      <w:r>
        <w:rPr>
          <w:rFonts w:ascii="Arial" w:cs="Arial" w:eastAsia="Arial" w:hAnsi="Arial"/>
          <w:sz w:val="16"/>
          <w:szCs w:val="16"/>
          <w:color w:val="auto"/>
        </w:rPr>
        <w:t>Following the expected Cash Settlement in May 2026, the following named executive officers of the Company are projected to retain a significant level of stock ownership in the Company as measured in the Company’s Stock Ownership Guidelines (“SOG”) in multiples of annual base salary (calculations assume a $400 share price on the vesting date and a 60% post-tax cash settlement of the Emergence Grant and reflects only the shares received by the applicable executive in his Emergence Grant):</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217"/>
        </w:trPr>
        <w:tc>
          <w:tcPr>
            <w:tcW w:w="3600" w:type="dxa"/>
            <w:vAlign w:val="bottom"/>
            <w:gridSpan w:val="2"/>
          </w:tcPr>
          <w:p>
            <w:pPr>
              <w:ind w:left="1080"/>
              <w:spacing w:after="0"/>
              <w:rPr>
                <w:sz w:val="20"/>
                <w:szCs w:val="20"/>
                <w:color w:val="auto"/>
              </w:rPr>
            </w:pPr>
            <w:r>
              <w:rPr>
                <w:rFonts w:ascii="Arial" w:cs="Arial" w:eastAsia="Arial" w:hAnsi="Arial"/>
                <w:sz w:val="16"/>
                <w:szCs w:val="16"/>
                <w:b w:val="1"/>
                <w:bCs w:val="1"/>
                <w:color w:val="auto"/>
              </w:rPr>
              <w:t>Named Executive</w:t>
            </w:r>
          </w:p>
        </w:tc>
        <w:tc>
          <w:tcPr>
            <w:tcW w:w="36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SOG</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Multiple of Salary</w:t>
            </w:r>
          </w:p>
        </w:tc>
      </w:tr>
      <w:tr>
        <w:trPr>
          <w:trHeight w:val="208"/>
        </w:trPr>
        <w:tc>
          <w:tcPr>
            <w:tcW w:w="3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Mac McFarland</w:t>
            </w:r>
          </w:p>
        </w:tc>
        <w:tc>
          <w:tcPr>
            <w:tcW w:w="100" w:type="dxa"/>
            <w:vAlign w:val="bottom"/>
          </w:tcPr>
          <w:p>
            <w:pPr>
              <w:spacing w:after="0"/>
              <w:rPr>
                <w:sz w:val="18"/>
                <w:szCs w:val="18"/>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6x</w:t>
            </w:r>
          </w:p>
        </w:tc>
        <w:tc>
          <w:tcPr>
            <w:tcW w:w="100" w:type="dxa"/>
            <w:vAlign w:val="bottom"/>
          </w:tcPr>
          <w:p>
            <w:pPr>
              <w:spacing w:after="0"/>
              <w:rPr>
                <w:sz w:val="18"/>
                <w:szCs w:val="18"/>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75x</w:t>
            </w:r>
          </w:p>
        </w:tc>
      </w:tr>
      <w:tr>
        <w:trPr>
          <w:trHeight w:val="215"/>
        </w:trPr>
        <w:tc>
          <w:tcPr>
            <w:tcW w:w="3600" w:type="dxa"/>
            <w:vAlign w:val="bottom"/>
            <w:gridSpan w:val="2"/>
          </w:tcPr>
          <w:p>
            <w:pPr>
              <w:ind w:left="20"/>
              <w:spacing w:after="0"/>
              <w:rPr>
                <w:sz w:val="20"/>
                <w:szCs w:val="20"/>
                <w:color w:val="auto"/>
              </w:rPr>
            </w:pPr>
            <w:r>
              <w:rPr>
                <w:rFonts w:ascii="Arial" w:cs="Arial" w:eastAsia="Arial" w:hAnsi="Arial"/>
                <w:sz w:val="16"/>
                <w:szCs w:val="16"/>
                <w:color w:val="auto"/>
              </w:rPr>
              <w:t>Terry Nutt</w:t>
            </w:r>
          </w:p>
        </w:tc>
        <w:tc>
          <w:tcPr>
            <w:tcW w:w="3600" w:type="dxa"/>
            <w:vAlign w:val="bottom"/>
            <w:gridSpan w:val="2"/>
          </w:tcPr>
          <w:p>
            <w:pPr>
              <w:jc w:val="center"/>
              <w:ind w:right="100"/>
              <w:spacing w:after="0"/>
              <w:rPr>
                <w:sz w:val="20"/>
                <w:szCs w:val="20"/>
                <w:color w:val="auto"/>
              </w:rPr>
            </w:pPr>
            <w:r>
              <w:rPr>
                <w:rFonts w:ascii="Arial" w:cs="Arial" w:eastAsia="Arial" w:hAnsi="Arial"/>
                <w:sz w:val="16"/>
                <w:szCs w:val="16"/>
                <w:color w:val="auto"/>
              </w:rPr>
              <w:t>5x</w:t>
            </w:r>
          </w:p>
        </w:tc>
        <w:tc>
          <w:tcPr>
            <w:tcW w:w="3520" w:type="dxa"/>
            <w:vAlign w:val="bottom"/>
          </w:tcPr>
          <w:p>
            <w:pPr>
              <w:jc w:val="center"/>
              <w:spacing w:after="0"/>
              <w:rPr>
                <w:sz w:val="20"/>
                <w:szCs w:val="20"/>
                <w:color w:val="auto"/>
              </w:rPr>
            </w:pPr>
            <w:r>
              <w:rPr>
                <w:rFonts w:ascii="Arial" w:cs="Arial" w:eastAsia="Arial" w:hAnsi="Arial"/>
                <w:sz w:val="16"/>
                <w:szCs w:val="16"/>
                <w:color w:val="auto"/>
              </w:rPr>
              <w:t>32x</w:t>
            </w:r>
          </w:p>
        </w:tc>
      </w:tr>
      <w:tr>
        <w:trPr>
          <w:trHeight w:val="216"/>
        </w:trPr>
        <w:tc>
          <w:tcPr>
            <w:tcW w:w="3600" w:type="dxa"/>
            <w:vAlign w:val="bottom"/>
            <w:gridSpan w:val="2"/>
          </w:tcPr>
          <w:p>
            <w:pPr>
              <w:ind w:left="20"/>
              <w:spacing w:after="0"/>
              <w:rPr>
                <w:sz w:val="20"/>
                <w:szCs w:val="20"/>
                <w:color w:val="auto"/>
              </w:rPr>
            </w:pPr>
            <w:r>
              <w:rPr>
                <w:rFonts w:ascii="Arial" w:cs="Arial" w:eastAsia="Arial" w:hAnsi="Arial"/>
                <w:sz w:val="16"/>
                <w:szCs w:val="16"/>
                <w:color w:val="auto"/>
              </w:rPr>
              <w:t>Cole Muller</w:t>
            </w:r>
          </w:p>
        </w:tc>
        <w:tc>
          <w:tcPr>
            <w:tcW w:w="3600" w:type="dxa"/>
            <w:vAlign w:val="bottom"/>
            <w:gridSpan w:val="2"/>
          </w:tcPr>
          <w:p>
            <w:pPr>
              <w:jc w:val="center"/>
              <w:ind w:right="100"/>
              <w:spacing w:after="0"/>
              <w:rPr>
                <w:sz w:val="20"/>
                <w:szCs w:val="20"/>
                <w:color w:val="auto"/>
              </w:rPr>
            </w:pPr>
            <w:r>
              <w:rPr>
                <w:rFonts w:ascii="Arial" w:cs="Arial" w:eastAsia="Arial" w:hAnsi="Arial"/>
                <w:sz w:val="16"/>
                <w:szCs w:val="16"/>
                <w:color w:val="auto"/>
              </w:rPr>
              <w:t>3x</w:t>
            </w:r>
          </w:p>
        </w:tc>
        <w:tc>
          <w:tcPr>
            <w:tcW w:w="3520" w:type="dxa"/>
            <w:vAlign w:val="bottom"/>
          </w:tcPr>
          <w:p>
            <w:pPr>
              <w:jc w:val="center"/>
              <w:spacing w:after="0"/>
              <w:rPr>
                <w:sz w:val="20"/>
                <w:szCs w:val="20"/>
                <w:color w:val="auto"/>
              </w:rPr>
            </w:pPr>
            <w:r>
              <w:rPr>
                <w:rFonts w:ascii="Arial" w:cs="Arial" w:eastAsia="Arial" w:hAnsi="Arial"/>
                <w:sz w:val="16"/>
                <w:szCs w:val="16"/>
                <w:color w:val="auto"/>
              </w:rPr>
              <w:t>25x</w:t>
            </w:r>
          </w:p>
        </w:tc>
      </w:tr>
      <w:tr>
        <w:trPr>
          <w:trHeight w:val="21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Brad Berryman</w:t>
            </w:r>
          </w:p>
        </w:tc>
        <w:tc>
          <w:tcPr>
            <w:tcW w:w="100" w:type="dxa"/>
            <w:vAlign w:val="bottom"/>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3x</w:t>
            </w:r>
          </w:p>
        </w:tc>
        <w:tc>
          <w:tcPr>
            <w:tcW w:w="100" w:type="dxa"/>
            <w:vAlign w:val="bottom"/>
          </w:tcPr>
          <w:p>
            <w:pPr>
              <w:spacing w:after="0"/>
              <w:rPr>
                <w:sz w:val="18"/>
                <w:szCs w:val="18"/>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48x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20" w:top="1440" w:right="379" w:bottom="1440" w:gutter="0" w:footer="0" w:header="0"/>
        </w:sectPr>
      </w:pPr>
    </w:p>
    <w:bookmarkStart w:id="118" w:name="page119"/>
    <w:bookmarkEnd w:id="118"/>
    <w:p>
      <w:pPr>
        <w:spacing w:after="0" w:line="144" w:lineRule="exact"/>
        <w:rPr>
          <w:sz w:val="20"/>
          <w:szCs w:val="20"/>
          <w:color w:val="auto"/>
        </w:rPr>
      </w:pPr>
    </w:p>
    <w:p>
      <w:pPr>
        <w:ind w:right="140" w:firstLine="324"/>
        <w:spacing w:after="0" w:line="265" w:lineRule="auto"/>
        <w:rPr>
          <w:sz w:val="20"/>
          <w:szCs w:val="20"/>
          <w:color w:val="auto"/>
        </w:rPr>
      </w:pPr>
      <w:r>
        <w:rPr>
          <w:rFonts w:ascii="Arial" w:cs="Arial" w:eastAsia="Arial" w:hAnsi="Arial"/>
          <w:sz w:val="16"/>
          <w:szCs w:val="16"/>
          <w:color w:val="auto"/>
        </w:rPr>
        <w:t>In addition, as part of the Company’s retention efforts, the extended employment agreements provide that the Company will grant new time-based restricted stock units and performance stock units in February 2026 that will vest over a two and three-year period (i.e., vesting in 2028 and 2029). These grants will be made in addition to the Emergence Awards and the previously granted time-based restricted stock units and performance stock units that will vest in 2027.</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Talen</w:t>
      </w:r>
    </w:p>
    <w:p>
      <w:pPr>
        <w:spacing w:after="0" w:line="154"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Talen Energy (</w:t>
      </w:r>
      <w:r>
        <w:rPr>
          <w:rFonts w:ascii="Arial" w:cs="Arial" w:eastAsia="Arial" w:hAnsi="Arial"/>
          <w:sz w:val="16"/>
          <w:szCs w:val="16"/>
          <w:u w:val="single" w:color="auto"/>
          <w:color w:val="0E32E1"/>
        </w:rPr>
        <w:t>NASDAQ: TLN</w:t>
      </w:r>
      <w:r>
        <w:rPr>
          <w:rFonts w:ascii="Arial" w:cs="Arial" w:eastAsia="Arial" w:hAnsi="Arial"/>
          <w:sz w:val="16"/>
          <w:szCs w:val="16"/>
          <w:color w:val="auto"/>
        </w:rPr>
        <w:t xml:space="preserve">) is a leading independent power producer and energy infrastructure company dedicated to powering the future. We own and operate approximately 13.2 gigawatts of power infrastructure in the United States, including 2.2 gigawatts of nuclear power and a significant dispatchable fossil fleet. We produce and sell electricity, capacity, and ancillary services into wholesale U.S. power markets, with our generation fleet located in the Mid-Atlantic, Ohio and Montana. Our team is committed to generating power safely and reliably, delivering the most value per megawatt produced. Talen is also powering the digital infrastructure revolution. We are well-positioned to serve this growing industry, as artificial intelligence data centers increasingly demand more reliable, clean power. Talen is headquartered in Houston, Texas. For more information, visit </w:t>
      </w:r>
      <w:r>
        <w:rPr>
          <w:rFonts w:ascii="Arial" w:cs="Arial" w:eastAsia="Arial" w:hAnsi="Arial"/>
          <w:sz w:val="16"/>
          <w:szCs w:val="16"/>
          <w:u w:val="single" w:color="auto"/>
          <w:color w:val="0E32E1"/>
        </w:rPr>
        <w:t>https://www.talenenergy.com/</w:t>
      </w:r>
      <w:r>
        <w:rPr>
          <w:rFonts w:ascii="Arial" w:cs="Arial" w:eastAsia="Arial" w:hAnsi="Arial"/>
          <w:sz w:val="16"/>
          <w:szCs w:val="16"/>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Sergio Castro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&amp; Treasurer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32E1"/>
        </w:rPr>
        <w:t>InvestorRelations@talenenergy.com</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Media:</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Taryne Williams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32E1"/>
        </w:rPr>
        <w:t>Taryne.Williams@talenenergy.com</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67"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This communication contains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communication,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statements regarding changes made to the Company’s executive leadership and the effective transition of such leadership into their new and/or expanded roles, capital expenditures, earnings, litigation, regulatory matters, hedging, liquidity and capital resources, accounting matters, expectations, beliefs, plans, objectives, goals, strategies, future events or performance, shareholder returns and underlying assumptions. 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3</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
      <w:numFmt w:val="bullet"/>
      <w:start w:val="1"/>
    </w:lvl>
    <w:lvl w:ilvl="1">
      <w:lvlJc w:val="left"/>
      <w:lvlText w:val="%2"/>
      <w:numFmt w:val="decimal"/>
      <w:start w:val="104"/>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1."/>
      <w:numFmt w:val="decimal"/>
      <w:start w:val="1"/>
    </w:lvl>
    <w:lvl w:ilvl="1">
      <w:lvlJc w:val="left"/>
      <w:lvlText w:val="(%2)"/>
      <w:numFmt w:val="lowerLetter"/>
      <w:start w:val="1"/>
    </w:lvl>
  </w:abstractNum>
  <w:abstractNum w:abstractNumId="6">
    <w:nsid w:val="50801EE1"/>
    <w:multiLevelType w:val="hybridMultilevel"/>
    <w:lvl w:ilvl="0">
      <w:lvlJc w:val="left"/>
      <w:lvlText w:val="(%1)"/>
      <w:numFmt w:val="lowerLetter"/>
      <w:start w:val="61"/>
    </w:lvl>
    <w:lvl w:ilvl="1">
      <w:lvlJc w:val="left"/>
      <w:lvlText w:val="%2."/>
      <w:numFmt w:val="decimal"/>
      <w:start w:val="2"/>
    </w:lvl>
    <w:lvl w:ilvl="2">
      <w:lvlJc w:val="left"/>
      <w:lvlText w:val="(%3)"/>
      <w:numFmt w:val="lowerLetter"/>
      <w:start w:val="2"/>
    </w:lvl>
  </w:abstractNum>
  <w:abstractNum w:abstractNumId="7">
    <w:nsid w:val="488AC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
    <w:nsid w:val="5FB8011C"/>
    <w:multiLevelType w:val="hybridMultilevel"/>
    <w:lvl w:ilvl="0">
      <w:lvlJc w:val="left"/>
      <w:lvlText w:val="(%1)"/>
      <w:numFmt w:val="lowerLetter"/>
      <w:start w:val="3"/>
    </w:lvl>
    <w:lvl w:ilvl="1">
      <w:lvlJc w:val="left"/>
      <w:lvlText w:val="(%2)"/>
      <w:numFmt w:val="lowerRoman"/>
      <w:start w:val="1"/>
    </w:lvl>
  </w:abstractNum>
  <w:abstractNum w:abstractNumId="9">
    <w:nsid w:val="6AA78F7F"/>
    <w:multiLevelType w:val="hybridMultilevel"/>
    <w:lvl w:ilvl="0">
      <w:lvlJc w:val="left"/>
      <w:lvlText w:val="%1."/>
      <w:numFmt w:val="decimal"/>
      <w:start w:val="4"/>
    </w:lvl>
  </w:abstractNum>
  <w:abstractNum w:abstractNumId="10">
    <w:nsid w:val="7672BD2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
    <w:nsid w:val="6FC75AF8"/>
    <w:multiLevelType w:val="hybridMultilevel"/>
    <w:lvl w:ilvl="0">
      <w:lvlJc w:val="left"/>
      <w:lvlText w:val="(%1)"/>
      <w:numFmt w:val="lowerRoman"/>
      <w:start w:val="5"/>
    </w:lvl>
  </w:abstractNum>
  <w:abstractNum w:abstractNumId="12">
    <w:nsid w:val="6A5F702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
    <w:nsid w:val="7D5E18F8"/>
    <w:multiLevelType w:val="hybridMultilevel"/>
    <w:lvl w:ilvl="0">
      <w:lvlJc w:val="left"/>
      <w:lvlText w:val="(%1)"/>
      <w:numFmt w:val="lowerRoman"/>
      <w:start w:val="3"/>
    </w:lvl>
  </w:abstractNum>
  <w:abstractNum w:abstractNumId="14">
    <w:nsid w:val="5F3534A4"/>
    <w:multiLevelType w:val="hybridMultilevel"/>
    <w:lvl w:ilvl="0">
      <w:lvlJc w:val="left"/>
      <w:lvlText w:val="%1"/>
      <w:numFmt w:val="lowerLetter"/>
      <w:start w:val="1"/>
    </w:lvl>
    <w:lvl w:ilvl="1">
      <w:lvlJc w:val="left"/>
      <w:lvlText w:val="(%2)"/>
      <w:numFmt w:val="lowerLetter"/>
      <w:start w:val="4"/>
    </w:lvl>
  </w:abstractNum>
  <w:abstractNum w:abstractNumId="15">
    <w:nsid w:val="73A1821B"/>
    <w:multiLevelType w:val="hybridMultilevel"/>
    <w:lvl w:ilvl="0">
      <w:lvlJc w:val="left"/>
      <w:lvlText w:val="(%1)"/>
      <w:numFmt w:val="lowerLetter"/>
      <w:start w:val="61"/>
    </w:lvl>
    <w:lvl w:ilvl="1">
      <w:lvlJc w:val="left"/>
      <w:lvlText w:val="%2"/>
      <w:numFmt w:val="lowerLetter"/>
      <w:start w:val="1"/>
    </w:lvl>
  </w:abstractNum>
  <w:abstractNum w:abstractNumId="16">
    <w:nsid w:val="7DE67713"/>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9"/>
    </w:lvl>
  </w:abstractNum>
  <w:abstractNum w:abstractNumId="17">
    <w:nsid w:val="555C55B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8">
    <w:nsid w:val="3FA62ACA"/>
    <w:multiLevelType w:val="hybridMultilevel"/>
    <w:lvl w:ilvl="0">
      <w:lvlJc w:val="left"/>
      <w:lvlText w:val="(%1)"/>
      <w:numFmt w:val="upperLetter"/>
      <w:start w:val="1"/>
    </w:lvl>
  </w:abstractNum>
  <w:abstractNum w:abstractNumId="19">
    <w:nsid w:val="14FCE74E"/>
    <w:multiLevelType w:val="hybridMultilevel"/>
    <w:lvl w:ilvl="0">
      <w:lvlJc w:val="left"/>
      <w:lvlText w:val="(%1)"/>
      <w:numFmt w:val="upperLetter"/>
      <w:start w:val="3"/>
    </w:lvl>
  </w:abstractNum>
  <w:abstractNum w:abstractNumId="20">
    <w:nsid w:val="6A3DD3E8"/>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1">
    <w:nsid w:val="71C91298"/>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22">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3">
    <w:nsid w:val="53299938"/>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24">
    <w:nsid w:val="1FBFE8E0"/>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5">
    <w:nsid w:val="5092CA79"/>
    <w:multiLevelType w:val="hybridMultilevel"/>
    <w:lvl w:ilvl="0">
      <w:lvlJc w:val="left"/>
      <w:lvlText w:val="(%1)"/>
      <w:numFmt w:val="lowerLetter"/>
      <w:start w:val="1"/>
    </w:lvl>
    <w:lvl w:ilvl="1">
      <w:lvlJc w:val="left"/>
      <w:lvlText w:val="(%2)"/>
      <w:numFmt w:val="lowerRoman"/>
      <w:start w:val="1"/>
    </w:lvl>
  </w:abstractNum>
  <w:abstractNum w:abstractNumId="26">
    <w:nsid w:val="1D545C4D"/>
    <w:multiLevelType w:val="hybridMultilevel"/>
    <w:lvl w:ilvl="0">
      <w:lvlJc w:val="left"/>
      <w:lvlText w:val="%1"/>
      <w:numFmt w:val="lowerLetter"/>
      <w:start w:val="1"/>
    </w:lvl>
    <w:lvl w:ilvl="1">
      <w:lvlJc w:val="left"/>
      <w:lvlText w:val="(%2)"/>
      <w:numFmt w:val="lowerLetter"/>
      <w:start w:val="5"/>
    </w:lvl>
  </w:abstractNum>
  <w:abstractNum w:abstractNumId="27">
    <w:nsid w:val="59ADEA3D"/>
    <w:multiLevelType w:val="hybridMultilevel"/>
    <w:lvl w:ilvl="0">
      <w:lvlJc w:val="left"/>
      <w:lvlText w:val="(%1)"/>
      <w:numFmt w:val="lowerLetter"/>
      <w:start w:val="9"/>
    </w:lvl>
    <w:lvl w:ilvl="1">
      <w:lvlJc w:val="left"/>
      <w:lvlText w:val="%2"/>
      <w:numFmt w:val="lowerLetter"/>
      <w:start w:val="1"/>
    </w:lvl>
  </w:abstractNum>
  <w:abstractNum w:abstractNumId="28">
    <w:nsid w:val="288F1A34"/>
    <w:multiLevelType w:val="hybridMultilevel"/>
    <w:lvl w:ilvl="0">
      <w:lvlJc w:val="left"/>
      <w:lvlText w:val="(%1)"/>
      <w:numFmt w:val="lowerLetter"/>
      <w:start w:val="61"/>
    </w:lvl>
    <w:lvl w:ilvl="1">
      <w:lvlJc w:val="left"/>
      <w:lvlText w:val="%2"/>
      <w:numFmt w:val="lowerLetter"/>
      <w:start w:val="1"/>
    </w:lvl>
  </w:abstractNum>
  <w:abstractNum w:abstractNumId="29">
    <w:nsid w:val="2A155DBC"/>
    <w:multiLevelType w:val="hybridMultilevel"/>
    <w:lvl w:ilvl="0">
      <w:lvlJc w:val="left"/>
      <w:lvlText w:val="%1"/>
      <w:numFmt w:val="lowerRoman"/>
      <w:start w:val="1"/>
    </w:lvl>
    <w:lvl w:ilvl="1">
      <w:lvlJc w:val="left"/>
      <w:lvlText w:val="%2."/>
      <w:numFmt w:val="decimal"/>
      <w:start w:val="11"/>
    </w:lvl>
    <w:lvl w:ilvl="2">
      <w:lvlJc w:val="left"/>
      <w:lvlText w:val="%3"/>
      <w:numFmt w:val="lowerLetter"/>
      <w:start w:val="1"/>
    </w:lvl>
  </w:abstractNum>
  <w:abstractNum w:abstractNumId="30">
    <w:nsid w:val="1D9F6E5F"/>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31">
    <w:nsid w:val="97E1B4E"/>
    <w:multiLevelType w:val="hybridMultilevel"/>
    <w:lvl w:ilvl="0">
      <w:lvlJc w:val="left"/>
      <w:lvlText w:val="(%1)"/>
      <w:numFmt w:val="lowerLetter"/>
      <w:start w:val="2"/>
    </w:lvl>
    <w:lvl w:ilvl="1">
      <w:lvlJc w:val="left"/>
      <w:lvlText w:val="(%2)"/>
      <w:numFmt w:val="lowerRoman"/>
      <w:start w:val="1"/>
    </w:lvl>
  </w:abstractNum>
  <w:abstractNum w:abstractNumId="32">
    <w:nsid w:val="51088277"/>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33">
    <w:nsid w:val="1CA0C5F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34">
    <w:nsid w:val="53584BCB"/>
    <w:multiLevelType w:val="hybridMultilevel"/>
    <w:lvl w:ilvl="0">
      <w:lvlJc w:val="left"/>
      <w:lvlText w:val="(%1)"/>
      <w:numFmt w:val="lowerLetter"/>
      <w:start w:val="4"/>
    </w:lvl>
  </w:abstractNum>
  <w:abstractNum w:abstractNumId="35">
    <w:nsid w:val="415E286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36">
    <w:nsid w:val="7C58FD05"/>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37">
    <w:nsid w:val="23D86AAC"/>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38">
    <w:nsid w:val="45E6D486"/>
    <w:multiLevelType w:val="hybridMultilevel"/>
    <w:lvl w:ilvl="0">
      <w:lvlJc w:val="left"/>
      <w:lvlText w:val="%1."/>
      <w:numFmt w:val="decimal"/>
      <w:start w:val="14"/>
    </w:lvl>
  </w:abstractNum>
  <w:abstractNum w:abstractNumId="39">
    <w:nsid w:val="5C10FE21"/>
    <w:multiLevelType w:val="hybridMultilevel"/>
    <w:lvl w:ilvl="0">
      <w:lvlJc w:val="left"/>
      <w:lvlText w:val="%1."/>
      <w:numFmt w:val="decimal"/>
      <w:start w:val="19"/>
    </w:lvl>
  </w:abstractNum>
  <w:abstractNum w:abstractNumId="40">
    <w:nsid w:val="E7FFA2B"/>
    <w:multiLevelType w:val="hybridMultilevel"/>
    <w:lvl w:ilvl="0">
      <w:lvlJc w:val="left"/>
      <w:lvlText w:val="%1"/>
      <w:numFmt w:val="lowerLetter"/>
      <w:start w:val="1"/>
    </w:lvl>
    <w:lvl w:ilvl="1">
      <w:lvlJc w:val="left"/>
      <w:lvlText w:val="%2."/>
      <w:numFmt w:val="decimal"/>
      <w:start w:val="23"/>
    </w:lvl>
  </w:abstractNum>
  <w:abstractNum w:abstractNumId="41">
    <w:nsid w:val="3C5991AA"/>
    <w:multiLevelType w:val="hybridMultilevel"/>
    <w:lvl w:ilvl="0">
      <w:lvlJc w:val="left"/>
      <w:lvlText w:val="(%1)"/>
      <w:numFmt w:val="lowerLetter"/>
      <w:start w:val="1"/>
    </w:lvl>
    <w:lvl w:ilvl="1">
      <w:lvlJc w:val="left"/>
      <w:lvlText w:val="%2"/>
      <w:numFmt w:val="decimal"/>
      <w:start w:val="1"/>
    </w:lvl>
  </w:abstractNum>
  <w:abstractNum w:abstractNumId="42">
    <w:nsid w:val="4BD8591A"/>
    <w:multiLevelType w:val="hybridMultilevel"/>
    <w:lvl w:ilvl="0">
      <w:lvlJc w:val="left"/>
      <w:lvlText w:val="%1"/>
      <w:numFmt w:val="lowerLetter"/>
      <w:start w:val="1"/>
    </w:lvl>
    <w:lvl w:ilvl="1">
      <w:lvlJc w:val="left"/>
      <w:lvlText w:val="%2."/>
      <w:numFmt w:val="decimal"/>
      <w:start w:val="25"/>
    </w:lvl>
  </w:abstractNum>
  <w:abstractNum w:abstractNumId="43">
    <w:nsid w:val="78DF6A55"/>
    <w:multiLevelType w:val="hybridMultilevel"/>
    <w:lvl w:ilvl="0">
      <w:lvlJc w:val="left"/>
      <w:lvlText w:val="(%1)"/>
      <w:numFmt w:val="lowerLetter"/>
      <w:start w:val="3"/>
    </w:lvl>
    <w:lvl w:ilvl="1">
      <w:lvlJc w:val="left"/>
      <w:lvlText w:val="%2"/>
      <w:numFmt w:val="decimal"/>
      <w:start w:val="1"/>
    </w:lvl>
  </w:abstractNum>
  <w:abstractNum w:abstractNumId="44">
    <w:nsid w:val="39B7AAA2"/>
    <w:multiLevelType w:val="hybridMultilevel"/>
    <w:lvl w:ilvl="0">
      <w:lvlJc w:val="left"/>
      <w:lvlText w:val="%1."/>
      <w:numFmt w:val="decimal"/>
      <w:start w:val="27"/>
    </w:lvl>
    <w:lvl w:ilvl="1">
      <w:lvlJc w:val="left"/>
      <w:lvlText w:val="(%2)"/>
      <w:numFmt w:val="lowerLetter"/>
      <w:start w:val="1"/>
    </w:lvl>
  </w:abstractNum>
  <w:abstractNum w:abstractNumId="45">
    <w:nsid w:val="2B0D8DBE"/>
    <w:multiLevelType w:val="hybridMultilevel"/>
    <w:lvl w:ilvl="0">
      <w:lvlJc w:val="left"/>
      <w:lvlText w:val="%1."/>
      <w:numFmt w:val="decimal"/>
      <w:start w:val="30"/>
    </w:lvl>
  </w:abstractNum>
  <w:abstractNum w:abstractNumId="46">
    <w:nsid w:val="6C80EC70"/>
    <w:multiLevelType w:val="hybridMultilevel"/>
    <w:lvl w:ilvl="0">
      <w:lvlJc w:val="left"/>
      <w:lvlText w:val="%1."/>
      <w:numFmt w:val="decimal"/>
      <w:start w:val="1"/>
    </w:lvl>
    <w:lvl w:ilvl="1">
      <w:lvlJc w:val="left"/>
      <w:lvlText w:val="(%2)"/>
      <w:numFmt w:val="lowerLetter"/>
      <w:start w:val="1"/>
    </w:lvl>
  </w:abstractNum>
  <w:abstractNum w:abstractNumId="47">
    <w:nsid w:val="379E21B5"/>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8">
    <w:nsid w:val="69E373"/>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49">
    <w:nsid w:val="2C27173B"/>
    <w:multiLevelType w:val="hybridMultilevel"/>
    <w:lvl w:ilvl="0">
      <w:lvlJc w:val="left"/>
      <w:lvlText w:val="(%1)"/>
      <w:numFmt w:val="decimal"/>
      <w:start w:val="120"/>
    </w:lvl>
    <w:lvl w:ilvl="1">
      <w:lvlJc w:val="left"/>
      <w:lvlText w:val="%2"/>
      <w:numFmt w:val="decimal"/>
      <w:start w:val="1"/>
    </w:lvl>
    <w:lvl w:ilvl="2">
      <w:lvlJc w:val="left"/>
      <w:lvlText w:val="%3"/>
      <w:numFmt w:val="lowerLetter"/>
      <w:start w:val="1"/>
    </w:lvl>
  </w:abstractNum>
  <w:abstractNum w:abstractNumId="50">
    <w:nsid w:val="4C9B0904"/>
    <w:multiLevelType w:val="hybridMultilevel"/>
    <w:lvl w:ilvl="0">
      <w:lvlJc w:val="left"/>
      <w:lvlText w:val="(%1)"/>
      <w:numFmt w:val="lowerLetter"/>
      <w:start w:val="3"/>
    </w:lvl>
    <w:lvl w:ilvl="1">
      <w:lvlJc w:val="left"/>
      <w:lvlText w:val="(%2)"/>
      <w:numFmt w:val="lowerRoman"/>
      <w:start w:val="1"/>
    </w:lvl>
  </w:abstractNum>
  <w:abstractNum w:abstractNumId="51">
    <w:nsid w:val="6AA7B75C"/>
    <w:multiLevelType w:val="hybridMultilevel"/>
    <w:lvl w:ilvl="0">
      <w:lvlJc w:val="left"/>
      <w:lvlText w:val="%1."/>
      <w:numFmt w:val="decimal"/>
      <w:start w:val="4"/>
    </w:lvl>
  </w:abstractNum>
  <w:abstractNum w:abstractNumId="52">
    <w:nsid w:val="1DF029D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3">
    <w:nsid w:val="5675FF36"/>
    <w:multiLevelType w:val="hybridMultilevel"/>
    <w:lvl w:ilvl="0">
      <w:lvlJc w:val="left"/>
      <w:lvlText w:val="(%1)"/>
      <w:numFmt w:val="lowerRoman"/>
      <w:start w:val="6"/>
    </w:lvl>
  </w:abstractNum>
  <w:abstractNum w:abstractNumId="54">
    <w:nsid w:val="3DD1509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5">
    <w:nsid w:val="3DB012B3"/>
    <w:multiLevelType w:val="hybridMultilevel"/>
    <w:lvl w:ilvl="0">
      <w:lvlJc w:val="left"/>
      <w:lvlText w:val="%1"/>
      <w:numFmt w:val="lowerLetter"/>
      <w:start w:val="1"/>
    </w:lvl>
    <w:lvl w:ilvl="1">
      <w:lvlJc w:val="left"/>
      <w:lvlText w:val="(%2)"/>
      <w:numFmt w:val="lowerLetter"/>
      <w:start w:val="4"/>
    </w:lvl>
  </w:abstractNum>
  <w:abstractNum w:abstractNumId="56">
    <w:nsid w:val="2708C9AF"/>
    <w:multiLevelType w:val="hybridMultilevel"/>
    <w:lvl w:ilvl="0">
      <w:lvlJc w:val="left"/>
      <w:lvlText w:val="(%1)"/>
      <w:numFmt w:val="lowerLetter"/>
      <w:start w:val="61"/>
    </w:lvl>
    <w:lvl w:ilvl="1">
      <w:lvlJc w:val="left"/>
      <w:lvlText w:val="(%2)"/>
      <w:numFmt w:val="lowerLetter"/>
      <w:start w:val="5"/>
    </w:lvl>
  </w:abstractNum>
  <w:abstractNum w:abstractNumId="57">
    <w:nsid w:val="5B25ACE2"/>
    <w:multiLevelType w:val="hybridMultilevel"/>
    <w:lvl w:ilvl="0">
      <w:lvlJc w:val="left"/>
      <w:lvlText w:val="(%1)"/>
      <w:numFmt w:val="lowerLetter"/>
      <w:start w:val="6"/>
    </w:lvl>
  </w:abstractNum>
  <w:abstractNum w:abstractNumId="58">
    <w:nsid w:val="175DFCF0"/>
    <w:multiLevelType w:val="hybridMultilevel"/>
    <w:lvl w:ilvl="0">
      <w:lvlJc w:val="left"/>
      <w:lvlText w:val="%1"/>
      <w:numFmt w:val="upperLetter"/>
      <w:start w:val="1"/>
    </w:lvl>
    <w:lvl w:ilvl="1">
      <w:lvlJc w:val="left"/>
      <w:lvlText w:val="(%2)"/>
      <w:numFmt w:val="lowerRoman"/>
      <w:start w:val="1"/>
    </w:lvl>
  </w:abstractNum>
  <w:abstractNum w:abstractNumId="59">
    <w:nsid w:val="4F97E3E4"/>
    <w:multiLevelType w:val="hybridMultilevel"/>
    <w:lvl w:ilvl="0">
      <w:lvlJc w:val="left"/>
      <w:lvlText w:val="(%1)"/>
      <w:numFmt w:val="upperLetter"/>
      <w:start w:val="1"/>
    </w:lvl>
    <w:lvl w:ilvl="1">
      <w:lvlJc w:val="left"/>
      <w:lvlText w:val="%2"/>
      <w:numFmt w:val="lowerRoman"/>
      <w:start w:val="1"/>
    </w:lvl>
  </w:abstractNum>
  <w:abstractNum w:abstractNumId="60">
    <w:nsid w:val="53B0A9E"/>
    <w:multiLevelType w:val="hybridMultilevel"/>
    <w:lvl w:ilvl="0">
      <w:lvlJc w:val="left"/>
      <w:lvlText w:val="(%1)"/>
      <w:numFmt w:val="lowerLetter"/>
      <w:start w:val="25"/>
    </w:lvl>
    <w:lvl w:ilvl="1">
      <w:lvlJc w:val="left"/>
      <w:lvlText w:val="(%2)"/>
      <w:numFmt w:val="lowerRoman"/>
    </w:lvl>
    <w:lvl w:ilvl="2">
      <w:lvlJc w:val="left"/>
      <w:lvlText w:val="(%3)"/>
      <w:numFmt w:val="upperLetter"/>
      <w:start w:val="1"/>
    </w:lvl>
  </w:abstractNum>
  <w:abstractNum w:abstractNumId="61">
    <w:nsid w:val="34FD6B4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2">
    <w:nsid w:val="5915FF32"/>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63">
    <w:nsid w:val="56438D15"/>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64">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5">
    <w:nsid w:val="2C6E4AFD"/>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66">
    <w:nsid w:val="17A1B582"/>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7">
    <w:nsid w:val="4DF72E4E"/>
    <w:multiLevelType w:val="hybridMultilevel"/>
    <w:lvl w:ilvl="0">
      <w:lvlJc w:val="left"/>
      <w:lvlText w:val="(%1)"/>
      <w:numFmt w:val="lowerLetter"/>
      <w:start w:val="1"/>
    </w:lvl>
    <w:lvl w:ilvl="1">
      <w:lvlJc w:val="left"/>
      <w:lvlText w:val="(%2)"/>
      <w:numFmt w:val="lowerRoman"/>
      <w:start w:val="1"/>
    </w:lvl>
  </w:abstractNum>
  <w:abstractNum w:abstractNumId="68">
    <w:nsid w:val="5046B5A9"/>
    <w:multiLevelType w:val="hybridMultilevel"/>
    <w:lvl w:ilvl="0">
      <w:lvlJc w:val="left"/>
      <w:lvlText w:val="%1"/>
      <w:numFmt w:val="lowerLetter"/>
      <w:start w:val="1"/>
    </w:lvl>
    <w:lvl w:ilvl="1">
      <w:lvlJc w:val="left"/>
      <w:lvlText w:val="(%2)"/>
      <w:numFmt w:val="lowerLetter"/>
      <w:start w:val="5"/>
    </w:lvl>
  </w:abstractNum>
  <w:abstractNum w:abstractNumId="69">
    <w:nsid w:val="5D888A08"/>
    <w:multiLevelType w:val="hybridMultilevel"/>
    <w:lvl w:ilvl="0">
      <w:lvlJc w:val="left"/>
      <w:lvlText w:val="(%1)"/>
      <w:numFmt w:val="lowerLetter"/>
      <w:start w:val="9"/>
    </w:lvl>
    <w:lvl w:ilvl="1">
      <w:lvlJc w:val="left"/>
      <w:lvlText w:val="%2"/>
      <w:numFmt w:val="lowerLetter"/>
      <w:start w:val="1"/>
    </w:lvl>
  </w:abstractNum>
  <w:abstractNum w:abstractNumId="70">
    <w:nsid w:val="2A082C70"/>
    <w:multiLevelType w:val="hybridMultilevel"/>
    <w:lvl w:ilvl="0">
      <w:lvlJc w:val="left"/>
      <w:lvlText w:val="(%1)"/>
      <w:numFmt w:val="lowerLetter"/>
      <w:start w:val="61"/>
    </w:lvl>
    <w:lvl w:ilvl="1">
      <w:lvlJc w:val="left"/>
      <w:lvlText w:val="%2"/>
      <w:numFmt w:val="lowerLetter"/>
      <w:start w:val="1"/>
    </w:lvl>
  </w:abstractNum>
  <w:abstractNum w:abstractNumId="71">
    <w:nsid w:val="5EC6AFD4"/>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abstractNum>
  <w:abstractNum w:abstractNumId="72">
    <w:nsid w:val="19E21BB2"/>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73">
    <w:nsid w:val="75E0858A"/>
    <w:multiLevelType w:val="hybridMultilevel"/>
    <w:lvl w:ilvl="0">
      <w:lvlJc w:val="left"/>
      <w:lvlText w:val="(%1)"/>
      <w:numFmt w:val="lowerLetter"/>
      <w:start w:val="2"/>
    </w:lvl>
    <w:lvl w:ilvl="1">
      <w:lvlJc w:val="left"/>
      <w:lvlText w:val="(%2)"/>
      <w:numFmt w:val="lowerRoman"/>
      <w:start w:val="1"/>
    </w:lvl>
  </w:abstractNum>
  <w:abstractNum w:abstractNumId="74">
    <w:nsid w:val="57A61A29"/>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75">
    <w:nsid w:val="5399C65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76">
    <w:nsid w:val="20EE1348"/>
    <w:multiLevelType w:val="hybridMultilevel"/>
    <w:lvl w:ilvl="0">
      <w:lvlJc w:val="left"/>
      <w:lvlText w:val="(%1)"/>
      <w:numFmt w:val="lowerLetter"/>
      <w:start w:val="5"/>
    </w:lvl>
  </w:abstractNum>
  <w:abstractNum w:abstractNumId="77">
    <w:nsid w:val="4427069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78">
    <w:nsid w:val="B37E80A"/>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79">
    <w:nsid w:val="2157F6BC"/>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80">
    <w:nsid w:val="704E1DD5"/>
    <w:multiLevelType w:val="hybridMultilevel"/>
    <w:lvl w:ilvl="0">
      <w:lvlJc w:val="left"/>
      <w:lvlText w:val="%1."/>
      <w:numFmt w:val="decimal"/>
      <w:start w:val="13"/>
    </w:lvl>
  </w:abstractNum>
  <w:abstractNum w:abstractNumId="81">
    <w:nsid w:val="57D2F10E"/>
    <w:multiLevelType w:val="hybridMultilevel"/>
    <w:lvl w:ilvl="0">
      <w:lvlJc w:val="left"/>
      <w:lvlText w:val="%1."/>
      <w:numFmt w:val="decimal"/>
      <w:start w:val="18"/>
    </w:lvl>
  </w:abstractNum>
  <w:abstractNum w:abstractNumId="82">
    <w:nsid w:val="BFFAE18"/>
    <w:multiLevelType w:val="hybridMultilevel"/>
    <w:lvl w:ilvl="0">
      <w:lvlJc w:val="left"/>
      <w:lvlText w:val="%1"/>
      <w:numFmt w:val="lowerLetter"/>
      <w:start w:val="1"/>
    </w:lvl>
    <w:lvl w:ilvl="1">
      <w:lvlJc w:val="left"/>
      <w:lvlText w:val="%2."/>
      <w:numFmt w:val="decimal"/>
      <w:start w:val="23"/>
    </w:lvl>
  </w:abstractNum>
  <w:abstractNum w:abstractNumId="83">
    <w:nsid w:val="E3E47A8"/>
    <w:multiLevelType w:val="hybridMultilevel"/>
    <w:lvl w:ilvl="0">
      <w:lvlJc w:val="left"/>
      <w:lvlText w:val="(%1)"/>
      <w:numFmt w:val="lowerLetter"/>
      <w:start w:val="1"/>
    </w:lvl>
    <w:lvl w:ilvl="1">
      <w:lvlJc w:val="left"/>
      <w:lvlText w:val="%2"/>
      <w:numFmt w:val="decimal"/>
      <w:start w:val="1"/>
    </w:lvl>
  </w:abstractNum>
  <w:abstractNum w:abstractNumId="84">
    <w:nsid w:val="2E48F044"/>
    <w:multiLevelType w:val="hybridMultilevel"/>
    <w:lvl w:ilvl="0">
      <w:lvlJc w:val="left"/>
      <w:lvlText w:val="%1"/>
      <w:numFmt w:val="lowerLetter"/>
      <w:start w:val="1"/>
    </w:lvl>
    <w:lvl w:ilvl="1">
      <w:lvlJc w:val="left"/>
      <w:lvlText w:val="%2."/>
      <w:numFmt w:val="decimal"/>
      <w:start w:val="24"/>
    </w:lvl>
    <w:lvl w:ilvl="2">
      <w:lvlJc w:val="left"/>
      <w:lvlText w:val="%3"/>
      <w:numFmt w:val="lowerLetter"/>
      <w:start w:val="1"/>
    </w:lvl>
  </w:abstractNum>
  <w:abstractNum w:abstractNumId="85">
    <w:nsid w:val="49D0FEAC"/>
    <w:multiLevelType w:val="hybridMultilevel"/>
    <w:lvl w:ilvl="0">
      <w:lvlJc w:val="left"/>
      <w:lvlText w:val="(%1)"/>
      <w:numFmt w:val="lowerLetter"/>
      <w:start w:val="3"/>
    </w:lvl>
    <w:lvl w:ilvl="1">
      <w:lvlJc w:val="left"/>
      <w:lvlText w:val="%2."/>
      <w:numFmt w:val="decimal"/>
      <w:start w:val="26"/>
    </w:lvl>
    <w:lvl w:ilvl="2">
      <w:lvlJc w:val="left"/>
      <w:lvlText w:val="(%3)"/>
      <w:numFmt w:val="lowerLetter"/>
      <w:start w:val="1"/>
    </w:lvl>
  </w:abstractNum>
  <w:abstractNum w:abstractNumId="86">
    <w:nsid w:val="4BEE5A5B"/>
    <w:multiLevelType w:val="hybridMultilevel"/>
    <w:lvl w:ilvl="0">
      <w:lvlJc w:val="left"/>
      <w:lvlText w:val="%1"/>
      <w:numFmt w:val="decimal"/>
      <w:start w:val="1"/>
    </w:lvl>
    <w:lvl w:ilvl="1">
      <w:lvlJc w:val="left"/>
      <w:lvlText w:val="(%2)"/>
      <w:numFmt w:val="lowerLetter"/>
      <w:start w:val="2"/>
    </w:lvl>
  </w:abstractNum>
  <w:abstractNum w:abstractNumId="87">
    <w:nsid w:val="5551B9F3"/>
    <w:multiLevelType w:val="hybridMultilevel"/>
    <w:lvl w:ilvl="0">
      <w:lvlJc w:val="left"/>
      <w:lvlText w:val="%1."/>
      <w:numFmt w:val="decimal"/>
      <w:start w:val="27"/>
    </w:lvl>
    <w:lvl w:ilvl="1">
      <w:lvlJc w:val="left"/>
      <w:lvlText w:val="%2"/>
      <w:numFmt w:val="lowerLetter"/>
      <w:start w:val="1"/>
    </w:lvl>
  </w:abstractNum>
  <w:abstractNum w:abstractNumId="88">
    <w:nsid w:val="24F6AB8E"/>
    <w:multiLevelType w:val="hybridMultilevel"/>
    <w:lvl w:ilvl="0">
      <w:lvlJc w:val="left"/>
      <w:lvlText w:val="%1."/>
      <w:numFmt w:val="decimal"/>
      <w:start w:val="30"/>
    </w:lvl>
  </w:abstractNum>
  <w:abstractNum w:abstractNumId="89">
    <w:nsid w:val="634C574C"/>
    <w:multiLevelType w:val="hybridMultilevel"/>
    <w:lvl w:ilvl="0">
      <w:lvlJc w:val="left"/>
      <w:lvlText w:val="%1."/>
      <w:numFmt w:val="decimal"/>
      <w:start w:val="1"/>
    </w:lvl>
    <w:lvl w:ilvl="1">
      <w:lvlJc w:val="left"/>
      <w:lvlText w:val="(%2)"/>
      <w:numFmt w:val="lowerLetter"/>
      <w:start w:val="1"/>
    </w:lvl>
  </w:abstractNum>
  <w:abstractNum w:abstractNumId="90">
    <w:nsid w:val="24E99DD7"/>
    <w:multiLevelType w:val="hybridMultilevel"/>
    <w:lvl w:ilvl="0">
      <w:lvlJc w:val="left"/>
      <w:lvlText w:val="%1"/>
      <w:numFmt w:val="decimal"/>
      <w:start w:val="1"/>
    </w:lvl>
    <w:lvl w:ilvl="1">
      <w:lvlJc w:val="left"/>
      <w:lvlText w:val="(%2)"/>
      <w:numFmt w:val="lowerLetter"/>
      <w:start w:val="2"/>
    </w:lvl>
  </w:abstractNum>
  <w:abstractNum w:abstractNumId="91">
    <w:nsid w:val="2A31B62D"/>
    <w:multiLevelType w:val="hybridMultilevel"/>
    <w:lvl w:ilvl="0">
      <w:lvlJc w:val="left"/>
      <w:lvlText w:val="%1."/>
      <w:numFmt w:val="decimal"/>
      <w:start w:val="3"/>
    </w:lvl>
    <w:lvl w:ilvl="1">
      <w:lvlJc w:val="left"/>
      <w:lvlText w:val="(%2)"/>
      <w:numFmt w:val="lowerLetter"/>
      <w:start w:val="1"/>
    </w:lvl>
  </w:abstractNum>
  <w:abstractNum w:abstractNumId="92">
    <w:nsid w:val="1849C29B"/>
    <w:multiLevelType w:val="hybridMultilevel"/>
    <w:lvl w:ilvl="0">
      <w:lvlJc w:val="left"/>
      <w:lvlText w:val="(%1)"/>
      <w:numFmt w:val="lowerLetter"/>
      <w:start w:val="3"/>
    </w:lvl>
    <w:lvl w:ilvl="1">
      <w:lvlJc w:val="left"/>
      <w:lvlText w:val="(%2)"/>
      <w:numFmt w:val="lowerRoman"/>
      <w:start w:val="1"/>
    </w:lvl>
  </w:abstractNum>
  <w:abstractNum w:abstractNumId="93">
    <w:nsid w:val="7DFF9D09"/>
    <w:multiLevelType w:val="hybridMultilevel"/>
    <w:lvl w:ilvl="0">
      <w:lvlJc w:val="left"/>
      <w:lvlText w:val="%1."/>
      <w:numFmt w:val="decimal"/>
      <w:start w:val="4"/>
    </w:lvl>
  </w:abstractNum>
  <w:abstractNum w:abstractNumId="94">
    <w:nsid w:val="75434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5">
    <w:nsid w:val="69E7F3E5"/>
    <w:multiLevelType w:val="hybridMultilevel"/>
    <w:lvl w:ilvl="0">
      <w:lvlJc w:val="left"/>
      <w:lvlText w:val="(%1)"/>
      <w:numFmt w:val="lowerRoman"/>
      <w:start w:val="6"/>
    </w:lvl>
  </w:abstractNum>
  <w:abstractNum w:abstractNumId="96">
    <w:nsid w:val="2A6DE80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7">
    <w:nsid w:val="1816F8C4"/>
    <w:multiLevelType w:val="hybridMultilevel"/>
    <w:lvl w:ilvl="0">
      <w:lvlJc w:val="left"/>
      <w:lvlText w:val="%1"/>
      <w:numFmt w:val="lowerLetter"/>
      <w:start w:val="1"/>
    </w:lvl>
    <w:lvl w:ilvl="1">
      <w:lvlJc w:val="left"/>
      <w:lvlText w:val="(%2)"/>
      <w:numFmt w:val="lowerLetter"/>
      <w:start w:val="4"/>
    </w:lvl>
  </w:abstractNum>
  <w:abstractNum w:abstractNumId="98">
    <w:nsid w:val="37DF2233"/>
    <w:multiLevelType w:val="hybridMultilevel"/>
    <w:lvl w:ilvl="0">
      <w:lvlJc w:val="left"/>
      <w:lvlText w:val="(%1)"/>
      <w:numFmt w:val="lowerLetter"/>
      <w:start w:val="61"/>
    </w:lvl>
    <w:lvl w:ilvl="1">
      <w:lvlJc w:val="left"/>
      <w:lvlText w:val="(%2)"/>
      <w:numFmt w:val="lowerLetter"/>
      <w:start w:val="5"/>
    </w:lvl>
  </w:abstractNum>
  <w:abstractNum w:abstractNumId="99">
    <w:nsid w:val="7AB49DAF"/>
    <w:multiLevelType w:val="hybridMultilevel"/>
    <w:lvl w:ilvl="0">
      <w:lvlJc w:val="left"/>
      <w:lvlText w:val="(%1)"/>
      <w:numFmt w:val="lowerLetter"/>
      <w:start w:val="6"/>
    </w:lvl>
  </w:abstractNum>
  <w:abstractNum w:abstractNumId="100">
    <w:nsid w:val="759F82CD"/>
    <w:multiLevelType w:val="hybridMultilevel"/>
    <w:lvl w:ilvl="0">
      <w:lvlJc w:val="left"/>
      <w:lvlText w:val="%1"/>
      <w:numFmt w:val="upperLetter"/>
      <w:start w:val="1"/>
    </w:lvl>
    <w:lvl w:ilvl="1">
      <w:lvlJc w:val="left"/>
      <w:lvlText w:val="(%2)"/>
      <w:numFmt w:val="lowerRoman"/>
      <w:start w:val="1"/>
    </w:lvl>
  </w:abstractNum>
  <w:abstractNum w:abstractNumId="101">
    <w:nsid w:val="61E74EA3"/>
    <w:multiLevelType w:val="hybridMultilevel"/>
    <w:lvl w:ilvl="0">
      <w:lvlJc w:val="left"/>
      <w:lvlText w:val="(%1)"/>
      <w:numFmt w:val="upperLetter"/>
      <w:start w:val="1"/>
    </w:lvl>
    <w:lvl w:ilvl="1">
      <w:lvlJc w:val="left"/>
      <w:lvlText w:val="%2"/>
      <w:numFmt w:val="lowerRoman"/>
      <w:start w:val="1"/>
    </w:lvl>
  </w:abstractNum>
  <w:abstractNum w:abstractNumId="102">
    <w:nsid w:val="597B4D84"/>
    <w:multiLevelType w:val="hybridMultilevel"/>
    <w:lvl w:ilvl="0">
      <w:lvlJc w:val="left"/>
      <w:lvlText w:val="(%1)"/>
      <w:numFmt w:val="lowerLetter"/>
      <w:start w:val="25"/>
    </w:lvl>
    <w:lvl w:ilvl="1">
      <w:lvlJc w:val="left"/>
      <w:lvlText w:val="(%2)"/>
      <w:numFmt w:val="lowerRoman"/>
    </w:lvl>
    <w:lvl w:ilvl="2">
      <w:lvlJc w:val="left"/>
      <w:lvlText w:val="(%3)"/>
      <w:numFmt w:val="upperLetter"/>
      <w:start w:val="1"/>
    </w:lvl>
  </w:abstractNum>
  <w:abstractNum w:abstractNumId="103">
    <w:nsid w:val="F819E7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04">
    <w:nsid w:val="57C7D42D"/>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05">
    <w:nsid w:val="312167AD"/>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106">
    <w:nsid w:val="631B64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07">
    <w:nsid w:val="78B5E776"/>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08">
    <w:nsid w:val="75486E47"/>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09">
    <w:nsid w:val="6E534CDE"/>
    <w:multiLevelType w:val="hybridMultilevel"/>
    <w:lvl w:ilvl="0">
      <w:lvlJc w:val="left"/>
      <w:lvlText w:val="(%1)"/>
      <w:numFmt w:val="lowerLetter"/>
      <w:start w:val="1"/>
    </w:lvl>
    <w:lvl w:ilvl="1">
      <w:lvlJc w:val="left"/>
      <w:lvlText w:val="(%2)"/>
      <w:numFmt w:val="lowerRoman"/>
      <w:start w:val="1"/>
    </w:lvl>
  </w:abstractNum>
  <w:abstractNum w:abstractNumId="110">
    <w:nsid w:val="1A0DDE32"/>
    <w:multiLevelType w:val="hybridMultilevel"/>
    <w:lvl w:ilvl="0">
      <w:lvlJc w:val="left"/>
      <w:lvlText w:val="%1"/>
      <w:numFmt w:val="lowerLetter"/>
      <w:start w:val="1"/>
    </w:lvl>
    <w:lvl w:ilvl="1">
      <w:lvlJc w:val="left"/>
      <w:lvlText w:val="(%2)"/>
      <w:numFmt w:val="lowerLetter"/>
      <w:start w:val="5"/>
    </w:lvl>
  </w:abstractNum>
  <w:abstractNum w:abstractNumId="111">
    <w:nsid w:val="65968C1C"/>
    <w:multiLevelType w:val="hybridMultilevel"/>
    <w:lvl w:ilvl="0">
      <w:lvlJc w:val="left"/>
      <w:lvlText w:val="(%1)"/>
      <w:numFmt w:val="lowerLetter"/>
      <w:start w:val="9"/>
    </w:lvl>
    <w:lvl w:ilvl="1">
      <w:lvlJc w:val="left"/>
      <w:lvlText w:val="%2"/>
      <w:numFmt w:val="lowerLetter"/>
      <w:start w:val="1"/>
    </w:lvl>
  </w:abstractNum>
  <w:abstractNum w:abstractNumId="112">
    <w:nsid w:val="46263DEC"/>
    <w:multiLevelType w:val="hybridMultilevel"/>
    <w:lvl w:ilvl="0">
      <w:lvlJc w:val="left"/>
      <w:lvlText w:val="(%1)"/>
      <w:numFmt w:val="lowerLetter"/>
      <w:start w:val="61"/>
    </w:lvl>
    <w:lvl w:ilvl="1">
      <w:lvlJc w:val="left"/>
      <w:lvlText w:val="%2"/>
      <w:numFmt w:val="lowerLetter"/>
      <w:start w:val="1"/>
    </w:lvl>
  </w:abstractNum>
  <w:abstractNum w:abstractNumId="113">
    <w:nsid w:val="260D8C4A"/>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abstractNum>
  <w:abstractNum w:abstractNumId="114">
    <w:nsid w:val="73D4D3C4"/>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15">
    <w:nsid w:val="746F2E30"/>
    <w:multiLevelType w:val="hybridMultilevel"/>
    <w:lvl w:ilvl="0">
      <w:lvlJc w:val="left"/>
      <w:lvlText w:val="(%1)"/>
      <w:numFmt w:val="lowerLetter"/>
      <w:start w:val="2"/>
    </w:lvl>
    <w:lvl w:ilvl="1">
      <w:lvlJc w:val="left"/>
      <w:lvlText w:val="(%2)"/>
      <w:numFmt w:val="lowerRoman"/>
      <w:start w:val="1"/>
    </w:lvl>
  </w:abstractNum>
  <w:abstractNum w:abstractNumId="116">
    <w:nsid w:val="6FDE8AF6"/>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117">
    <w:nsid w:val="3FC32E20"/>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18">
    <w:nsid w:val="49C0E823"/>
    <w:multiLevelType w:val="hybridMultilevel"/>
    <w:lvl w:ilvl="0">
      <w:lvlJc w:val="left"/>
      <w:lvlText w:val="(%1)"/>
      <w:numFmt w:val="lowerLetter"/>
      <w:start w:val="5"/>
    </w:lvl>
  </w:abstractNum>
  <w:abstractNum w:abstractNumId="119">
    <w:nsid w:val="14D5368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120">
    <w:nsid w:val="230F856C"/>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121">
    <w:nsid w:val="6EAA85FB"/>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22">
    <w:nsid w:val="3F06ECB2"/>
    <w:multiLevelType w:val="hybridMultilevel"/>
    <w:lvl w:ilvl="0">
      <w:lvlJc w:val="left"/>
      <w:lvlText w:val="%1."/>
      <w:numFmt w:val="decimal"/>
      <w:start w:val="13"/>
    </w:lvl>
  </w:abstractNum>
  <w:abstractNum w:abstractNumId="123">
    <w:nsid w:val="3B594807"/>
    <w:multiLevelType w:val="hybridMultilevel"/>
    <w:lvl w:ilvl="0">
      <w:lvlJc w:val="left"/>
      <w:lvlText w:val="%1."/>
      <w:numFmt w:val="decimal"/>
      <w:start w:val="18"/>
    </w:lvl>
  </w:abstractNum>
  <w:abstractNum w:abstractNumId="124">
    <w:nsid w:val="6CAA2304"/>
    <w:multiLevelType w:val="hybridMultilevel"/>
    <w:lvl w:ilvl="0">
      <w:lvlJc w:val="left"/>
      <w:lvlText w:val="%1"/>
      <w:numFmt w:val="lowerLetter"/>
      <w:start w:val="1"/>
    </w:lvl>
    <w:lvl w:ilvl="1">
      <w:lvlJc w:val="left"/>
      <w:lvlText w:val="%2."/>
      <w:numFmt w:val="decimal"/>
      <w:start w:val="23"/>
    </w:lvl>
  </w:abstractNum>
  <w:abstractNum w:abstractNumId="125">
    <w:nsid w:val="3F7C2FF4"/>
    <w:multiLevelType w:val="hybridMultilevel"/>
    <w:lvl w:ilvl="0">
      <w:lvlJc w:val="left"/>
      <w:lvlText w:val="(%1)"/>
      <w:numFmt w:val="lowerLetter"/>
      <w:start w:val="1"/>
    </w:lvl>
    <w:lvl w:ilvl="1">
      <w:lvlJc w:val="left"/>
      <w:lvlText w:val="%2"/>
      <w:numFmt w:val="decimal"/>
      <w:start w:val="1"/>
    </w:lvl>
  </w:abstractNum>
  <w:abstractNum w:abstractNumId="126">
    <w:nsid w:val="25413BEC"/>
    <w:multiLevelType w:val="hybridMultilevel"/>
    <w:lvl w:ilvl="0">
      <w:lvlJc w:val="left"/>
      <w:lvlText w:val="%1"/>
      <w:numFmt w:val="lowerLetter"/>
      <w:start w:val="1"/>
    </w:lvl>
    <w:lvl w:ilvl="1">
      <w:lvlJc w:val="left"/>
      <w:lvlText w:val="%2."/>
      <w:numFmt w:val="decimal"/>
      <w:start w:val="24"/>
    </w:lvl>
    <w:lvl w:ilvl="2">
      <w:lvlJc w:val="left"/>
      <w:lvlText w:val="%3"/>
      <w:numFmt w:val="lowerLetter"/>
      <w:start w:val="1"/>
    </w:lvl>
  </w:abstractNum>
  <w:abstractNum w:abstractNumId="127">
    <w:nsid w:val="17180B0B"/>
    <w:multiLevelType w:val="hybridMultilevel"/>
    <w:lvl w:ilvl="0">
      <w:lvlJc w:val="left"/>
      <w:lvlText w:val="(%1)"/>
      <w:numFmt w:val="lowerLetter"/>
      <w:start w:val="3"/>
    </w:lvl>
    <w:lvl w:ilvl="1">
      <w:lvlJc w:val="left"/>
      <w:lvlText w:val="%2."/>
      <w:numFmt w:val="decimal"/>
      <w:start w:val="26"/>
    </w:lvl>
    <w:lvl w:ilvl="2">
      <w:lvlJc w:val="left"/>
      <w:lvlText w:val="(%3)"/>
      <w:numFmt w:val="lowerLetter"/>
      <w:start w:val="1"/>
    </w:lvl>
  </w:abstractNum>
  <w:abstractNum w:abstractNumId="128">
    <w:nsid w:val="579328B9"/>
    <w:multiLevelType w:val="hybridMultilevel"/>
    <w:lvl w:ilvl="0">
      <w:lvlJc w:val="left"/>
      <w:lvlText w:val="%1"/>
      <w:numFmt w:val="decimal"/>
      <w:start w:val="1"/>
    </w:lvl>
    <w:lvl w:ilvl="1">
      <w:lvlJc w:val="left"/>
      <w:lvlText w:val="(%2)"/>
      <w:numFmt w:val="lowerLetter"/>
      <w:start w:val="2"/>
    </w:lvl>
  </w:abstractNum>
  <w:abstractNum w:abstractNumId="129">
    <w:nsid w:val="5D205E20"/>
    <w:multiLevelType w:val="hybridMultilevel"/>
    <w:lvl w:ilvl="0">
      <w:lvlJc w:val="left"/>
      <w:lvlText w:val="%1."/>
      <w:numFmt w:val="decimal"/>
      <w:start w:val="27"/>
    </w:lvl>
    <w:lvl w:ilvl="1">
      <w:lvlJc w:val="left"/>
      <w:lvlText w:val="%2"/>
      <w:numFmt w:val="lowerLetter"/>
      <w:start w:val="1"/>
    </w:lvl>
  </w:abstractNum>
  <w:abstractNum w:abstractNumId="130">
    <w:nsid w:val="11CCA8BA"/>
    <w:multiLevelType w:val="hybridMultilevel"/>
    <w:lvl w:ilvl="0">
      <w:lvlJc w:val="left"/>
      <w:lvlText w:val="%1."/>
      <w:numFmt w:val="decimal"/>
      <w:start w:val="30"/>
    </w:lvl>
  </w:abstractNum>
  <w:abstractNum w:abstractNumId="131">
    <w:nsid w:val="4D32AB86"/>
    <w:multiLevelType w:val="hybridMultilevel"/>
    <w:lvl w:ilvl="0">
      <w:lvlJc w:val="left"/>
      <w:lvlText w:val="%1."/>
      <w:numFmt w:val="decimal"/>
      <w:start w:val="1"/>
    </w:lvl>
    <w:lvl w:ilvl="1">
      <w:lvlJc w:val="left"/>
      <w:lvlText w:val="(%2)"/>
      <w:numFmt w:val="lowerLetter"/>
      <w:start w:val="1"/>
    </w:lvl>
  </w:abstractNum>
  <w:abstractNum w:abstractNumId="132">
    <w:nsid w:val="3F07ACC3"/>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2"/>
    </w:lvl>
  </w:abstractNum>
  <w:abstractNum w:abstractNumId="133">
    <w:nsid w:val="6B47F63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34">
    <w:nsid w:val="5CB44A05"/>
    <w:multiLevelType w:val="hybridMultilevel"/>
    <w:lvl w:ilvl="0">
      <w:lvlJc w:val="left"/>
      <w:lvlText w:val="(%1)"/>
      <w:numFmt w:val="lowerLetter"/>
      <w:start w:val="3"/>
    </w:lvl>
    <w:lvl w:ilvl="1">
      <w:lvlJc w:val="left"/>
      <w:lvlText w:val="(%2)"/>
      <w:numFmt w:val="lowerRoman"/>
      <w:start w:val="1"/>
    </w:lvl>
  </w:abstractNum>
  <w:abstractNum w:abstractNumId="135">
    <w:nsid w:val="16CF80F1"/>
    <w:multiLevelType w:val="hybridMultilevel"/>
    <w:lvl w:ilvl="0">
      <w:lvlJc w:val="left"/>
      <w:lvlText w:val="%1."/>
      <w:numFmt w:val="decimal"/>
      <w:start w:val="4"/>
    </w:lvl>
  </w:abstractNum>
  <w:abstractNum w:abstractNumId="136">
    <w:nsid w:val="1C695DE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7">
    <w:nsid w:val="3FCFAED9"/>
    <w:multiLevelType w:val="hybridMultilevel"/>
    <w:lvl w:ilvl="0">
      <w:lvlJc w:val="left"/>
      <w:lvlText w:val="(%1)"/>
      <w:numFmt w:val="lowerRoman"/>
      <w:start w:val="6"/>
    </w:lvl>
  </w:abstractNum>
  <w:abstractNum w:abstractNumId="138">
    <w:nsid w:val="F85686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9">
    <w:nsid w:val="11B1CC33"/>
    <w:multiLevelType w:val="hybridMultilevel"/>
    <w:lvl w:ilvl="0">
      <w:lvlJc w:val="left"/>
      <w:lvlText w:val="%1"/>
      <w:numFmt w:val="lowerLetter"/>
      <w:start w:val="1"/>
    </w:lvl>
    <w:lvl w:ilvl="1">
      <w:lvlJc w:val="left"/>
      <w:lvlText w:val="(%2)"/>
      <w:numFmt w:val="lowerLetter"/>
      <w:start w:val="4"/>
    </w:lvl>
  </w:abstractNum>
  <w:abstractNum w:abstractNumId="140">
    <w:nsid w:val="2E22FBB7"/>
    <w:multiLevelType w:val="hybridMultilevel"/>
    <w:lvl w:ilvl="0">
      <w:lvlJc w:val="left"/>
      <w:lvlText w:val="(%1)"/>
      <w:numFmt w:val="lowerLetter"/>
      <w:start w:val="61"/>
    </w:lvl>
    <w:lvl w:ilvl="1">
      <w:lvlJc w:val="left"/>
      <w:lvlText w:val="(%2)"/>
      <w:numFmt w:val="lowerLetter"/>
      <w:start w:val="5"/>
    </w:lvl>
  </w:abstractNum>
  <w:abstractNum w:abstractNumId="141">
    <w:nsid w:val="29934699"/>
    <w:multiLevelType w:val="hybridMultilevel"/>
    <w:lvl w:ilvl="0">
      <w:lvlJc w:val="left"/>
      <w:lvlText w:val="(%1)"/>
      <w:numFmt w:val="lowerLetter"/>
      <w:start w:val="6"/>
    </w:lvl>
  </w:abstractNum>
  <w:abstractNum w:abstractNumId="142">
    <w:nsid w:val="77485850"/>
    <w:multiLevelType w:val="hybridMultilevel"/>
    <w:lvl w:ilvl="0">
      <w:lvlJc w:val="left"/>
      <w:lvlText w:val="%1"/>
      <w:numFmt w:val="upperLetter"/>
      <w:start w:val="1"/>
    </w:lvl>
    <w:lvl w:ilvl="1">
      <w:lvlJc w:val="left"/>
      <w:lvlText w:val="(%2)"/>
      <w:numFmt w:val="lowerRoman"/>
      <w:start w:val="1"/>
    </w:lvl>
  </w:abstractNum>
  <w:abstractNum w:abstractNumId="143">
    <w:nsid w:val="744939A3"/>
    <w:multiLevelType w:val="hybridMultilevel"/>
    <w:lvl w:ilvl="0">
      <w:lvlJc w:val="left"/>
      <w:lvlText w:val="(%1)"/>
      <w:numFmt w:val="upperLetter"/>
      <w:start w:val="1"/>
    </w:lvl>
    <w:lvl w:ilvl="1">
      <w:lvlJc w:val="left"/>
      <w:lvlText w:val="%2"/>
      <w:numFmt w:val="lowerRoman"/>
      <w:start w:val="1"/>
    </w:lvl>
  </w:abstractNum>
  <w:abstractNum w:abstractNumId="144">
    <w:nsid w:val="4FA0D2E3"/>
    <w:multiLevelType w:val="hybridMultilevel"/>
    <w:lvl w:ilvl="0">
      <w:lvlJc w:val="left"/>
      <w:lvlText w:val="(%1)"/>
      <w:numFmt w:val="lowerLetter"/>
      <w:start w:val="25"/>
    </w:lvl>
    <w:lvl w:ilvl="1">
      <w:lvlJc w:val="left"/>
      <w:lvlText w:val="(%2)"/>
      <w:numFmt w:val="lowerRoman"/>
    </w:lvl>
    <w:lvl w:ilvl="2">
      <w:lvlJc w:val="left"/>
      <w:lvlText w:val="(%3)"/>
      <w:numFmt w:val="upperLetter"/>
      <w:start w:val="1"/>
    </w:lvl>
  </w:abstractNum>
  <w:abstractNum w:abstractNumId="145">
    <w:nsid w:val="6B1D2C1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46">
    <w:nsid w:val="68B867D3"/>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47">
    <w:nsid w:val="3F7F5DD9"/>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148">
    <w:nsid w:val="2AE05A3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49">
    <w:nsid w:val="32794FF7"/>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50">
    <w:nsid w:val="5454945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51">
    <w:nsid w:val="4DEFDFA0"/>
    <w:multiLevelType w:val="hybridMultilevel"/>
    <w:lvl w:ilvl="0">
      <w:lvlJc w:val="left"/>
      <w:lvlText w:val="(%1)"/>
      <w:numFmt w:val="lowerLetter"/>
      <w:start w:val="1"/>
    </w:lvl>
    <w:lvl w:ilvl="1">
      <w:lvlJc w:val="left"/>
      <w:lvlText w:val="(%2)"/>
      <w:numFmt w:val="lowerRoman"/>
      <w:start w:val="1"/>
    </w:lvl>
  </w:abstractNum>
  <w:abstractNum w:abstractNumId="152">
    <w:nsid w:val="2123D5F2"/>
    <w:multiLevelType w:val="hybridMultilevel"/>
    <w:lvl w:ilvl="0">
      <w:lvlJc w:val="left"/>
      <w:lvlText w:val="%1"/>
      <w:numFmt w:val="lowerLetter"/>
      <w:start w:val="1"/>
    </w:lvl>
    <w:lvl w:ilvl="1">
      <w:lvlJc w:val="left"/>
      <w:lvlText w:val="(%2)"/>
      <w:numFmt w:val="lowerLetter"/>
      <w:start w:val="5"/>
    </w:lvl>
  </w:abstractNum>
  <w:abstractNum w:abstractNumId="153">
    <w:nsid w:val="135B8110"/>
    <w:multiLevelType w:val="hybridMultilevel"/>
    <w:lvl w:ilvl="0">
      <w:lvlJc w:val="left"/>
      <w:lvlText w:val="(%1)"/>
      <w:numFmt w:val="lowerLetter"/>
      <w:start w:val="9"/>
    </w:lvl>
    <w:lvl w:ilvl="1">
      <w:lvlJc w:val="left"/>
      <w:lvlText w:val="%2"/>
      <w:numFmt w:val="lowerLetter"/>
      <w:start w:val="1"/>
    </w:lvl>
  </w:abstractNum>
  <w:abstractNum w:abstractNumId="154">
    <w:nsid w:val="94927A8"/>
    <w:multiLevelType w:val="hybridMultilevel"/>
    <w:lvl w:ilvl="0">
      <w:lvlJc w:val="left"/>
      <w:lvlText w:val="(%1)"/>
      <w:numFmt w:val="lowerLetter"/>
      <w:start w:val="61"/>
    </w:lvl>
    <w:lvl w:ilvl="1">
      <w:lvlJc w:val="left"/>
      <w:lvlText w:val="%2"/>
      <w:numFmt w:val="lowerLetter"/>
      <w:start w:val="1"/>
    </w:lvl>
  </w:abstractNum>
  <w:abstractNum w:abstractNumId="155">
    <w:nsid w:val="DCDF8F6"/>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abstractNum>
  <w:abstractNum w:abstractNumId="156">
    <w:nsid w:val="52D7B105"/>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57">
    <w:nsid w:val="2E8A6394"/>
    <w:multiLevelType w:val="hybridMultilevel"/>
    <w:lvl w:ilvl="0">
      <w:lvlJc w:val="left"/>
      <w:lvlText w:val="(%1)"/>
      <w:numFmt w:val="lowerLetter"/>
      <w:start w:val="2"/>
    </w:lvl>
    <w:lvl w:ilvl="1">
      <w:lvlJc w:val="left"/>
      <w:lvlText w:val="(%2)"/>
      <w:numFmt w:val="lowerRoman"/>
      <w:start w:val="1"/>
    </w:lvl>
  </w:abstractNum>
  <w:abstractNum w:abstractNumId="158">
    <w:nsid w:val="24E60401"/>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159">
    <w:nsid w:val="2A6AD9B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60">
    <w:nsid w:val="BAAC1B4"/>
    <w:multiLevelType w:val="hybridMultilevel"/>
    <w:lvl w:ilvl="0">
      <w:lvlJc w:val="left"/>
      <w:lvlText w:val="(%1)"/>
      <w:numFmt w:val="lowerLetter"/>
      <w:start w:val="5"/>
    </w:lvl>
  </w:abstractNum>
  <w:abstractNum w:abstractNumId="161">
    <w:nsid w:val="36B2ACB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162">
    <w:nsid w:val="779D8544"/>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163">
    <w:nsid w:val="4AB26E78"/>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64">
    <w:nsid w:val="21FAA2FA"/>
    <w:multiLevelType w:val="hybridMultilevel"/>
    <w:lvl w:ilvl="0">
      <w:lvlJc w:val="left"/>
      <w:lvlText w:val="%1."/>
      <w:numFmt w:val="decimal"/>
      <w:start w:val="13"/>
    </w:lvl>
  </w:abstractNum>
  <w:abstractNum w:abstractNumId="165">
    <w:nsid w:val="5451CF49"/>
    <w:multiLevelType w:val="hybridMultilevel"/>
    <w:lvl w:ilvl="0">
      <w:lvlJc w:val="left"/>
      <w:lvlText w:val="%1."/>
      <w:numFmt w:val="decimal"/>
      <w:start w:val="18"/>
    </w:lvl>
  </w:abstractNum>
  <w:abstractNum w:abstractNumId="166">
    <w:nsid w:val="6181EF69"/>
    <w:multiLevelType w:val="hybridMultilevel"/>
    <w:lvl w:ilvl="0">
      <w:lvlJc w:val="left"/>
      <w:lvlText w:val="%1"/>
      <w:numFmt w:val="lowerLetter"/>
      <w:start w:val="1"/>
    </w:lvl>
    <w:lvl w:ilvl="1">
      <w:lvlJc w:val="left"/>
      <w:lvlText w:val="%2."/>
      <w:numFmt w:val="decimal"/>
      <w:start w:val="23"/>
    </w:lvl>
  </w:abstractNum>
  <w:abstractNum w:abstractNumId="167">
    <w:nsid w:val="3E6400E6"/>
    <w:multiLevelType w:val="hybridMultilevel"/>
    <w:lvl w:ilvl="0">
      <w:lvlJc w:val="left"/>
      <w:lvlText w:val="(%1)"/>
      <w:numFmt w:val="lowerLetter"/>
      <w:start w:val="1"/>
    </w:lvl>
    <w:lvl w:ilvl="1">
      <w:lvlJc w:val="left"/>
      <w:lvlText w:val="%2"/>
      <w:numFmt w:val="decimal"/>
      <w:start w:val="1"/>
    </w:lvl>
  </w:abstractNum>
  <w:abstractNum w:abstractNumId="168">
    <w:nsid w:val="14217E23"/>
    <w:multiLevelType w:val="hybridMultilevel"/>
    <w:lvl w:ilvl="0">
      <w:lvlJc w:val="left"/>
      <w:lvlText w:val="%1"/>
      <w:numFmt w:val="lowerLetter"/>
      <w:start w:val="1"/>
    </w:lvl>
    <w:lvl w:ilvl="1">
      <w:lvlJc w:val="left"/>
      <w:lvlText w:val="%2."/>
      <w:numFmt w:val="decimal"/>
      <w:start w:val="24"/>
    </w:lvl>
    <w:lvl w:ilvl="2">
      <w:lvlJc w:val="left"/>
      <w:lvlText w:val="%3"/>
      <w:numFmt w:val="lowerLetter"/>
      <w:start w:val="1"/>
    </w:lvl>
  </w:abstractNum>
  <w:abstractNum w:abstractNumId="169">
    <w:nsid w:val="710757D0"/>
    <w:multiLevelType w:val="hybridMultilevel"/>
    <w:lvl w:ilvl="0">
      <w:lvlJc w:val="left"/>
      <w:lvlText w:val="(%1)"/>
      <w:numFmt w:val="lowerLetter"/>
      <w:start w:val="3"/>
    </w:lvl>
    <w:lvl w:ilvl="1">
      <w:lvlJc w:val="left"/>
      <w:lvlText w:val="%2."/>
      <w:numFmt w:val="decimal"/>
      <w:start w:val="26"/>
    </w:lvl>
    <w:lvl w:ilvl="2">
      <w:lvlJc w:val="left"/>
      <w:lvlText w:val="(%3)"/>
      <w:numFmt w:val="lowerLetter"/>
      <w:start w:val="1"/>
    </w:lvl>
  </w:abstractNum>
  <w:abstractNum w:abstractNumId="170">
    <w:nsid w:val="5015CD1A"/>
    <w:multiLevelType w:val="hybridMultilevel"/>
    <w:lvl w:ilvl="0">
      <w:lvlJc w:val="left"/>
      <w:lvlText w:val="%1"/>
      <w:numFmt w:val="decimal"/>
      <w:start w:val="1"/>
    </w:lvl>
    <w:lvl w:ilvl="1">
      <w:lvlJc w:val="left"/>
      <w:lvlText w:val="(%2)"/>
      <w:numFmt w:val="lowerLetter"/>
      <w:start w:val="2"/>
    </w:lvl>
  </w:abstractNum>
  <w:abstractNum w:abstractNumId="171">
    <w:nsid w:val="424479DA"/>
    <w:multiLevelType w:val="hybridMultilevel"/>
    <w:lvl w:ilvl="0">
      <w:lvlJc w:val="left"/>
      <w:lvlText w:val="%1."/>
      <w:numFmt w:val="decimal"/>
      <w:start w:val="27"/>
    </w:lvl>
    <w:lvl w:ilvl="1">
      <w:lvlJc w:val="left"/>
      <w:lvlText w:val="%2"/>
      <w:numFmt w:val="lowerLetter"/>
      <w:start w:val="1"/>
    </w:lvl>
  </w:abstractNum>
  <w:abstractNum w:abstractNumId="172">
    <w:nsid w:val="1A9A9E69"/>
    <w:multiLevelType w:val="hybridMultilevel"/>
    <w:lvl w:ilvl="0">
      <w:lvlJc w:val="left"/>
      <w:lvlText w:val="%1."/>
      <w:numFmt w:val="decimal"/>
      <w:start w:val="30"/>
    </w:lvl>
  </w:abstractNum>
  <w:abstractNum w:abstractNumId="173">
    <w:nsid w:val="475E256A"/>
    <w:multiLevelType w:val="hybridMultilevel"/>
    <w:lvl w:ilvl="0">
      <w:lvlJc w:val="left"/>
      <w:lvlText w:val="%1."/>
      <w:numFmt w:val="decimal"/>
      <w:start w:val="1"/>
    </w:lvl>
    <w:lvl w:ilvl="1">
      <w:lvlJc w:val="left"/>
      <w:lvlText w:val="(%2)"/>
      <w:numFmt w:val="lowerLetter"/>
      <w:start w:val="1"/>
    </w:lvl>
  </w:abstractNum>
  <w:abstractNum w:abstractNumId="174">
    <w:nsid w:val="368DB37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75">
    <w:nsid w:val="6A3B714C"/>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1"/>
    </w:lvl>
  </w:abstractNum>
  <w:abstractNum w:abstractNumId="176">
    <w:nsid w:val="327B517E"/>
    <w:multiLevelType w:val="hybridMultilevel"/>
    <w:lvl w:ilvl="0">
      <w:lvlJc w:val="left"/>
      <w:lvlText w:val="%1"/>
      <w:numFmt w:val="decimal"/>
      <w:start w:val="1"/>
    </w:lvl>
    <w:lvl w:ilvl="1">
      <w:lvlJc w:val="left"/>
      <w:lvlText w:val="(%2)"/>
      <w:numFmt w:val="lowerLetter"/>
      <w:start w:val="3"/>
    </w:lvl>
  </w:abstractNum>
  <w:abstractNum w:abstractNumId="177">
    <w:nsid w:val="1F461B51"/>
    <w:multiLevelType w:val="hybridMultilevel"/>
    <w:lvl w:ilvl="0">
      <w:lvlJc w:val="left"/>
      <w:lvlText w:val="%1."/>
      <w:numFmt w:val="decimal"/>
      <w:start w:val="3"/>
    </w:lvl>
    <w:lvl w:ilvl="1">
      <w:lvlJc w:val="left"/>
      <w:lvlText w:val="(%2)"/>
      <w:numFmt w:val="lowerLetter"/>
      <w:start w:val="1"/>
    </w:lvl>
  </w:abstractNum>
  <w:abstractNum w:abstractNumId="178">
    <w:nsid w:val="29BACF25"/>
    <w:multiLevelType w:val="hybridMultilevel"/>
    <w:lvl w:ilvl="0">
      <w:lvlJc w:val="left"/>
      <w:lvlText w:val="%1."/>
      <w:numFmt w:val="decimal"/>
      <w:start w:val="5"/>
    </w:lvl>
    <w:lvl w:ilvl="1">
      <w:lvlJc w:val="left"/>
      <w:lvlText w:val="(%2)"/>
      <w:numFmt w:val="lowerLetter"/>
      <w:start w:val="1"/>
    </w:lvl>
  </w:abstractNum>
  <w:abstractNum w:abstractNumId="179">
    <w:nsid w:val="5D5BABB3"/>
    <w:multiLevelType w:val="hybridMultilevel"/>
    <w:lvl w:ilvl="0">
      <w:lvlJc w:val="left"/>
      <w:lvlText w:val="%1."/>
      <w:numFmt w:val="decimal"/>
      <w:start w:val="9"/>
    </w:lvl>
  </w:abstractNum>
  <w:abstractNum w:abstractNumId="180">
    <w:nsid w:val="51BF6B48"/>
    <w:multiLevelType w:val="hybridMultilevel"/>
    <w:lvl w:ilvl="0">
      <w:lvlJc w:val="left"/>
      <w:lvlText w:val="%1."/>
      <w:numFmt w:val="decimal"/>
      <w:start w:val="1"/>
    </w:lvl>
  </w:abstractNum>
  <w:abstractNum w:abstractNumId="181">
    <w:nsid w:val="7E0F6384"/>
    <w:multiLevelType w:val="hybridMultilevel"/>
    <w:lvl w:ilvl="0">
      <w:lvlJc w:val="left"/>
      <w:lvlText w:val="%1."/>
      <w:numFmt w:val="decimal"/>
      <w:start w:val="3"/>
    </w:lvl>
  </w:abstractNum>
  <w:abstractNum w:abstractNumId="182">
    <w:nsid w:val="2B4B8B53"/>
    <w:multiLevelType w:val="hybridMultilevel"/>
    <w:lvl w:ilvl="0">
      <w:lvlJc w:val="left"/>
      <w:lvlText w:val="%1."/>
      <w:numFmt w:val="decimal"/>
      <w:start w:val="9"/>
    </w:lvl>
  </w:abstractNum>
  <w:abstractNum w:abstractNumId="183">
    <w:nsid w:val="72E3413A"/>
    <w:multiLevelType w:val="hybridMultilevel"/>
    <w:lvl w:ilvl="0">
      <w:lvlJc w:val="left"/>
      <w:lvlText w:val="(%1)"/>
      <w:numFmt w:val="lowerLetter"/>
      <w:start w:val="1"/>
    </w:lvl>
  </w:abstractNum>
  <w:abstractNum w:abstractNumId="184">
    <w:nsid w:val="116AE494"/>
    <w:multiLevelType w:val="hybridMultilevel"/>
    <w:lvl w:ilvl="0">
      <w:lvlJc w:val="left"/>
      <w:lvlText w:val="(%1)"/>
      <w:numFmt w:val="lowerLetter"/>
      <w:start w:val="2"/>
    </w:lvl>
  </w:abstractNum>
  <w:abstractNum w:abstractNumId="185">
    <w:nsid w:val="3494B2FB"/>
    <w:multiLevelType w:val="hybridMultilevel"/>
    <w:lvl w:ilvl="0">
      <w:lvlJc w:val="left"/>
      <w:lvlText w:val="▪"/>
      <w:numFmt w:val="bullet"/>
      <w:start w:val="1"/>
    </w:lvl>
  </w:abstractNum>
  <w:abstractNum w:abstractNumId="186">
    <w:nsid w:val="B13A3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2025-12-15T07:11:45Z</dcterms:created>
  <dcterms:modified xsi:type="dcterms:W3CDTF">2025-12-15T07:11:45Z</dcterms:modified>
</cp:coreProperties>
</file>