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198755</wp:posOffset>
            </wp:positionV>
            <wp:extent cx="16859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5925" cy="571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144145</wp:posOffset>
            </wp:positionV>
            <wp:extent cx="16916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CURRENT REPORT</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 xml:space="preserve">Date of Report (date of earliest event reported): </w:t>
      </w:r>
      <w:r>
        <w:rPr>
          <w:rFonts w:ascii="Arial" w:cs="Arial" w:eastAsia="Arial" w:hAnsi="Arial"/>
          <w:sz w:val="11"/>
          <w:szCs w:val="11"/>
          <w:b w:val="1"/>
          <w:bCs w:val="1"/>
          <w:color w:val="auto"/>
        </w:rPr>
        <w:t>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199390</wp:posOffset>
            </wp:positionV>
            <wp:extent cx="1691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Talen Energy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153035</wp:posOffset>
            </wp:positionV>
            <wp:extent cx="1691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50"/>
        </w:trPr>
        <w:tc>
          <w:tcPr>
            <w:tcW w:w="3160" w:type="dxa"/>
            <w:vAlign w:val="bottom"/>
            <w:tcBorders>
              <w:bottom w:val="single" w:sz="8" w:color="auto"/>
            </w:tcBorders>
          </w:tcPr>
          <w:p>
            <w:pPr>
              <w:jc w:val="center"/>
              <w:ind w:left="1026"/>
              <w:spacing w:after="0"/>
              <w:rPr>
                <w:sz w:val="20"/>
                <w:szCs w:val="20"/>
                <w:color w:val="auto"/>
              </w:rPr>
            </w:pPr>
            <w:r>
              <w:rPr>
                <w:rFonts w:ascii="Arial" w:cs="Arial" w:eastAsia="Arial" w:hAnsi="Arial"/>
                <w:sz w:val="11"/>
                <w:szCs w:val="11"/>
                <w:b w:val="1"/>
                <w:bCs w:val="1"/>
                <w:color w:val="auto"/>
                <w:w w:val="99"/>
              </w:rPr>
              <w:t>Delaware</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001-37388</w:t>
            </w: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jc w:val="center"/>
              <w:ind w:right="1186"/>
              <w:spacing w:after="0"/>
              <w:rPr>
                <w:sz w:val="20"/>
                <w:szCs w:val="20"/>
                <w:color w:val="auto"/>
              </w:rPr>
            </w:pPr>
            <w:r>
              <w:rPr>
                <w:rFonts w:ascii="Arial" w:cs="Arial" w:eastAsia="Arial" w:hAnsi="Arial"/>
                <w:sz w:val="11"/>
                <w:szCs w:val="11"/>
                <w:b w:val="1"/>
                <w:bCs w:val="1"/>
                <w:color w:val="auto"/>
                <w:w w:val="95"/>
              </w:rPr>
              <w:t>47-1197305</w:t>
            </w:r>
          </w:p>
        </w:tc>
      </w:tr>
      <w:tr>
        <w:trPr>
          <w:trHeight w:val="136"/>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8"/>
              </w:rPr>
              <w:t>(State or other jurisdiction of</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color w:val="auto"/>
                <w:w w:val="97"/>
              </w:rPr>
              <w:t>(Commission File Number)</w:t>
            </w: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rPr>
              <w:t>(IRS Employer</w:t>
            </w:r>
          </w:p>
        </w:tc>
      </w:tr>
      <w:tr>
        <w:trPr>
          <w:trHeight w:val="142"/>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7"/>
              </w:rPr>
              <w:t>incorporation or organization)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w w:val="98"/>
              </w:rPr>
              <w:t>Identification No.)</w:t>
            </w:r>
          </w:p>
        </w:tc>
      </w:tr>
      <w:tr>
        <w:trPr>
          <w:trHeight w:val="407"/>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7"/>
              </w:rPr>
              <w:t>2929 Allen Pkwy, Suite 2200</w:t>
            </w:r>
          </w:p>
        </w:tc>
        <w:tc>
          <w:tcPr>
            <w:tcW w:w="3000" w:type="dxa"/>
            <w:vAlign w:val="bottom"/>
          </w:tcPr>
          <w:p>
            <w:pPr>
              <w:spacing w:after="0"/>
              <w:rPr>
                <w:sz w:val="24"/>
                <w:szCs w:val="24"/>
                <w:color w:val="auto"/>
              </w:rPr>
            </w:pPr>
          </w:p>
        </w:tc>
      </w:tr>
      <w:tr>
        <w:trPr>
          <w:trHeight w:val="135"/>
        </w:trPr>
        <w:tc>
          <w:tcPr>
            <w:tcW w:w="3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b w:val="1"/>
                <w:bCs w:val="1"/>
                <w:color w:val="auto"/>
                <w:w w:val="97"/>
              </w:rPr>
              <w:t>Houston, TX 77019</w:t>
            </w:r>
          </w:p>
        </w:tc>
        <w:tc>
          <w:tcPr>
            <w:tcW w:w="3000" w:type="dxa"/>
            <w:vAlign w:val="bottom"/>
          </w:tcPr>
          <w:p>
            <w:pPr>
              <w:spacing w:after="0"/>
              <w:rPr>
                <w:sz w:val="11"/>
                <w:szCs w:val="11"/>
                <w:color w:val="auto"/>
              </w:rPr>
            </w:pPr>
          </w:p>
        </w:tc>
      </w:tr>
      <w:tr>
        <w:trPr>
          <w:trHeight w:val="142"/>
        </w:trPr>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40" w:type="dxa"/>
            <w:vAlign w:val="bottom"/>
            <w:gridSpan w:val="4"/>
          </w:tcPr>
          <w:p>
            <w:pPr>
              <w:jc w:val="center"/>
              <w:ind w:right="1220"/>
              <w:spacing w:after="0"/>
              <w:rPr>
                <w:sz w:val="20"/>
                <w:szCs w:val="20"/>
                <w:color w:val="auto"/>
              </w:rPr>
            </w:pPr>
            <w:r>
              <w:rPr>
                <w:rFonts w:ascii="Arial" w:cs="Arial" w:eastAsia="Arial" w:hAnsi="Arial"/>
                <w:sz w:val="11"/>
                <w:szCs w:val="11"/>
                <w:color w:val="auto"/>
                <w:w w:val="97"/>
              </w:rPr>
              <w:t>(Address of principal executive offices) (Zip Code)</w:t>
            </w:r>
          </w:p>
        </w:tc>
        <w:tc>
          <w:tcPr>
            <w:tcW w:w="3000" w:type="dxa"/>
            <w:vAlign w:val="bottom"/>
          </w:tcPr>
          <w:p>
            <w:pPr>
              <w:spacing w:after="0"/>
              <w:rPr>
                <w:sz w:val="12"/>
                <w:szCs w:val="12"/>
                <w:color w:val="auto"/>
              </w:rPr>
            </w:pPr>
          </w:p>
        </w:tc>
      </w:tr>
      <w:tr>
        <w:trPr>
          <w:trHeight w:val="218"/>
        </w:trPr>
        <w:tc>
          <w:tcPr>
            <w:tcW w:w="3160" w:type="dxa"/>
            <w:vAlign w:val="bottom"/>
          </w:tcPr>
          <w:p>
            <w:pPr>
              <w:spacing w:after="0"/>
              <w:rPr>
                <w:sz w:val="18"/>
                <w:szCs w:val="18"/>
                <w:color w:val="auto"/>
              </w:rPr>
            </w:pPr>
          </w:p>
        </w:tc>
        <w:tc>
          <w:tcPr>
            <w:tcW w:w="3360" w:type="dxa"/>
            <w:vAlign w:val="bottom"/>
            <w:gridSpan w:val="3"/>
          </w:tcPr>
          <w:p>
            <w:pPr>
              <w:jc w:val="center"/>
              <w:ind w:left="1146"/>
              <w:spacing w:after="0"/>
              <w:rPr>
                <w:sz w:val="20"/>
                <w:szCs w:val="20"/>
                <w:color w:val="auto"/>
              </w:rPr>
            </w:pPr>
            <w:r>
              <w:rPr>
                <w:rFonts w:ascii="Arial" w:cs="Arial" w:eastAsia="Arial" w:hAnsi="Arial"/>
                <w:sz w:val="11"/>
                <w:szCs w:val="11"/>
                <w:b w:val="1"/>
                <w:bCs w:val="1"/>
                <w:color w:val="auto"/>
                <w:w w:val="95"/>
              </w:rPr>
              <w:t>(888) 211-6011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7"/>
              </w:rPr>
              <w:t>(Registrant’s telephone number, including area code)</w:t>
            </w:r>
          </w:p>
        </w:tc>
        <w:tc>
          <w:tcPr>
            <w:tcW w:w="3000" w:type="dxa"/>
            <w:vAlign w:val="bottom"/>
          </w:tcPr>
          <w:p>
            <w:pPr>
              <w:spacing w:after="0"/>
              <w:rPr>
                <w:sz w:val="12"/>
                <w:szCs w:val="12"/>
                <w:color w:val="auto"/>
              </w:rPr>
            </w:pPr>
          </w:p>
        </w:tc>
      </w:tr>
      <w:tr>
        <w:trPr>
          <w:trHeight w:val="227"/>
        </w:trPr>
        <w:tc>
          <w:tcPr>
            <w:tcW w:w="3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8"/>
              </w:rPr>
              <w:t>Not applicable</w:t>
            </w:r>
          </w:p>
        </w:tc>
        <w:tc>
          <w:tcPr>
            <w:tcW w:w="3000" w:type="dxa"/>
            <w:vAlign w:val="bottom"/>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8"/>
              </w:rPr>
              <w:t>(Former name, former address and former fiscal year, if changed since last report)</w:t>
            </w:r>
          </w:p>
        </w:tc>
        <w:tc>
          <w:tcPr>
            <w:tcW w:w="30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172720</wp:posOffset>
            </wp:positionV>
            <wp:extent cx="1691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37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ind w:left="1720"/>
              <w:spacing w:after="0"/>
              <w:rPr>
                <w:sz w:val="20"/>
                <w:szCs w:val="20"/>
                <w:color w:val="auto"/>
              </w:rPr>
            </w:pPr>
            <w:r>
              <w:rPr>
                <w:rFonts w:ascii="Arial" w:cs="Arial" w:eastAsia="Arial" w:hAnsi="Arial"/>
                <w:sz w:val="11"/>
                <w:szCs w:val="11"/>
                <w:b w:val="1"/>
                <w:bCs w:val="1"/>
                <w:color w:val="auto"/>
              </w:rPr>
              <w:t>Title of each class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9"/>
              </w:rPr>
              <w:t>Trading Symbol(s)</w:t>
            </w:r>
          </w:p>
        </w:tc>
        <w:tc>
          <w:tcPr>
            <w:tcW w:w="3620" w:type="dxa"/>
            <w:vAlign w:val="bottom"/>
          </w:tcPr>
          <w:p>
            <w:pPr>
              <w:jc w:val="center"/>
              <w:ind w:right="566"/>
              <w:spacing w:after="0"/>
              <w:rPr>
                <w:sz w:val="20"/>
                <w:szCs w:val="20"/>
                <w:color w:val="auto"/>
              </w:rPr>
            </w:pPr>
            <w:r>
              <w:rPr>
                <w:rFonts w:ascii="Arial" w:cs="Arial" w:eastAsia="Arial" w:hAnsi="Arial"/>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10"/>
        </w:trPr>
        <w:tc>
          <w:tcPr>
            <w:tcW w:w="358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580" w:type="dxa"/>
            <w:vAlign w:val="bottom"/>
          </w:tcPr>
          <w:p>
            <w:pPr>
              <w:ind w:left="1120"/>
              <w:spacing w:after="0"/>
              <w:rPr>
                <w:sz w:val="20"/>
                <w:szCs w:val="20"/>
                <w:color w:val="auto"/>
              </w:rPr>
            </w:pPr>
            <w:r>
              <w:rPr>
                <w:rFonts w:ascii="Arial" w:cs="Arial" w:eastAsia="Arial" w:hAnsi="Arial"/>
                <w:sz w:val="11"/>
                <w:szCs w:val="11"/>
                <w:color w:val="auto"/>
              </w:rPr>
              <w:t>Common stock, par value $0.001 per share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color w:val="auto"/>
                <w:w w:val="96"/>
              </w:rPr>
              <w:t>TLN</w:t>
            </w:r>
          </w:p>
        </w:tc>
        <w:tc>
          <w:tcPr>
            <w:tcW w:w="3620" w:type="dxa"/>
            <w:vAlign w:val="bottom"/>
          </w:tcPr>
          <w:p>
            <w:pPr>
              <w:jc w:val="center"/>
              <w:ind w:right="586"/>
              <w:spacing w:after="0"/>
              <w:rPr>
                <w:sz w:val="20"/>
                <w:szCs w:val="20"/>
                <w:color w:val="auto"/>
              </w:rPr>
            </w:pPr>
            <w:r>
              <w:rPr>
                <w:rFonts w:ascii="Arial" w:cs="Arial" w:eastAsia="Arial" w:hAnsi="Arial"/>
                <w:sz w:val="11"/>
                <w:szCs w:val="11"/>
                <w:color w:val="auto"/>
                <w:w w:val="98"/>
              </w:rPr>
              <w:t>The Nasdaq Global Select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right="260"/>
        <w:spacing w:after="0" w:line="144"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9"/>
          <w:szCs w:val="9"/>
          <w:color w:val="auto"/>
        </w:rPr>
        <w:t>☐</w:t>
      </w:r>
    </w:p>
    <w:p>
      <w:pPr>
        <w:spacing w:after="0" w:line="82" w:lineRule="exact"/>
        <w:rPr>
          <w:sz w:val="24"/>
          <w:szCs w:val="24"/>
          <w:color w:val="auto"/>
        </w:rPr>
      </w:pPr>
    </w:p>
    <w:p>
      <w:pPr>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501650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954" w:right="419" w:bottom="144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Item 1.01. Entry Into a Material Definitive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Moxie Purchase Agreement</w:t>
      </w:r>
    </w:p>
    <w:p>
      <w:pPr>
        <w:spacing w:after="0" w:line="171" w:lineRule="exact"/>
        <w:rPr>
          <w:sz w:val="20"/>
          <w:szCs w:val="20"/>
          <w:color w:val="auto"/>
        </w:rPr>
      </w:pPr>
    </w:p>
    <w:p>
      <w:pPr>
        <w:ind w:right="280"/>
        <w:spacing w:after="0" w:line="254" w:lineRule="auto"/>
        <w:rPr>
          <w:sz w:val="20"/>
          <w:szCs w:val="20"/>
          <w:color w:val="auto"/>
        </w:rPr>
      </w:pPr>
      <w:r>
        <w:rPr>
          <w:rFonts w:ascii="Arial" w:cs="Arial" w:eastAsia="Arial" w:hAnsi="Arial"/>
          <w:sz w:val="11"/>
          <w:szCs w:val="11"/>
          <w:color w:val="auto"/>
        </w:rPr>
        <w:t>On July 17, 2025, Talen Generation, LLC (“Talen Generation”), an indirect wholly-owned subsidiary of Talen Energy Corporation (the “Company”), entered into a purchase and sale agreement (the “Moxie Purchase Agreement”) with Caithness Energy, L.L.C. (the “Seller”), pursuant to which Talen Generation agreed to purchase from the Seller the indirect ownership interests in the Luzerne Project (as defined below) through the sale, transfer, conveyance and assignment of all of the issued and outstanding interests in Moxie Freedom LLC, a Delaware limited liability company (the “Moxie Interests”), directly or indirectly (pursuant to the conditions of the Moxie Purchase Agreement). Seller, through certain of its subsidiaries, owns and controls a 1,105 MW natural gas fired combined cycle generation project located in Luzerne County, Pennsylvania (the “Luzerne Project”).</w:t>
      </w:r>
    </w:p>
    <w:p>
      <w:pPr>
        <w:spacing w:after="0" w:line="86" w:lineRule="exact"/>
        <w:rPr>
          <w:sz w:val="20"/>
          <w:szCs w:val="20"/>
          <w:color w:val="auto"/>
        </w:rPr>
      </w:pPr>
    </w:p>
    <w:p>
      <w:pPr>
        <w:jc w:val="both"/>
        <w:ind w:right="160"/>
        <w:spacing w:after="0" w:line="285" w:lineRule="auto"/>
        <w:rPr>
          <w:sz w:val="20"/>
          <w:szCs w:val="20"/>
          <w:color w:val="auto"/>
        </w:rPr>
      </w:pPr>
      <w:r>
        <w:rPr>
          <w:rFonts w:ascii="Arial" w:cs="Arial" w:eastAsia="Arial" w:hAnsi="Arial"/>
          <w:sz w:val="11"/>
          <w:szCs w:val="11"/>
          <w:color w:val="auto"/>
        </w:rPr>
        <w:t>As consideration for the transfer of the Moxie Interests (and, indirectly, the Luzerne Project) and the transactions contemplated by the Moxie Purchase Agreement (collectively, the “Moxie Acquisition”), the purchase price shall be $1.46 billion in cash, as adjusted in accordance with the Moxie Purchase Agreement.</w:t>
      </w:r>
    </w:p>
    <w:p>
      <w:pPr>
        <w:spacing w:after="0" w:line="69" w:lineRule="exact"/>
        <w:rPr>
          <w:sz w:val="20"/>
          <w:szCs w:val="20"/>
          <w:color w:val="auto"/>
        </w:rPr>
      </w:pPr>
    </w:p>
    <w:p>
      <w:pPr>
        <w:jc w:val="both"/>
        <w:ind w:right="140"/>
        <w:spacing w:after="0" w:line="262" w:lineRule="auto"/>
        <w:rPr>
          <w:sz w:val="20"/>
          <w:szCs w:val="20"/>
          <w:color w:val="auto"/>
        </w:rPr>
      </w:pPr>
      <w:r>
        <w:rPr>
          <w:rFonts w:ascii="Arial" w:cs="Arial" w:eastAsia="Arial" w:hAnsi="Arial"/>
          <w:sz w:val="11"/>
          <w:szCs w:val="11"/>
          <w:color w:val="auto"/>
        </w:rPr>
        <w:t>The obligations of the parties to complete the Moxie Acquisition are subject to the satisfaction or waiver of customary closing conditions set forth in the Moxie Purchase Agreement. At the closing of the Moxie Acquisition, the Company shall deposit, or cause to be deposited, with an escrow agent a cash deposit equal to 1% of the enterprise value of the Moxie Acquisition to secure the post-closing purchase price adjustments, pursuant to an escrow agreement among the Company, the Seller, and the escrow agent.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Guernsey Purchase Agreement</w:t>
      </w:r>
    </w:p>
    <w:p>
      <w:pPr>
        <w:spacing w:after="0" w:line="171" w:lineRule="exact"/>
        <w:rPr>
          <w:sz w:val="20"/>
          <w:szCs w:val="20"/>
          <w:color w:val="auto"/>
        </w:rPr>
      </w:pPr>
    </w:p>
    <w:p>
      <w:pPr>
        <w:jc w:val="both"/>
        <w:ind w:right="160"/>
        <w:spacing w:after="0" w:line="254" w:lineRule="auto"/>
        <w:rPr>
          <w:sz w:val="20"/>
          <w:szCs w:val="20"/>
          <w:color w:val="auto"/>
        </w:rPr>
      </w:pPr>
      <w:r>
        <w:rPr>
          <w:rFonts w:ascii="Arial" w:cs="Arial" w:eastAsia="Arial" w:hAnsi="Arial"/>
          <w:sz w:val="11"/>
          <w:szCs w:val="11"/>
          <w:color w:val="auto"/>
        </w:rPr>
        <w:t>On July 17, 2025, Talen Generation entered into a purchase and sale agreement (the “Guernsey Purchase Agreement,” and together with the Moxie Purchase Agreement, the “Purchase Agreements”) with Seller and Caithness Apex Guernsey, LLC (“Caithness Apex Guernsey,” and together with Seller, the “Guernsey Sellers”), pursuant to which Talen Generation agreed to purchase from the Guernsey Sellers all of the issued and outstanding interests in Guernsey Power Holdings, LLC, a Delaware limited liability company (such subsidiary, the “Project Holding Company,” and such interests in the Project Holding Company, the “Project Holding Company Interests”). Seller, through its subsidiaries, owns and controls a 1,875 MW natural gas fired combined cycle generation project located in Guernsey County, Ohio (the “Guernsey Project,” and together with the Luzerne Project, the “Generation Projects”).</w:t>
      </w:r>
    </w:p>
    <w:p>
      <w:pPr>
        <w:spacing w:after="0" w:line="86" w:lineRule="exact"/>
        <w:rPr>
          <w:sz w:val="20"/>
          <w:szCs w:val="20"/>
          <w:color w:val="auto"/>
        </w:rPr>
      </w:pPr>
    </w:p>
    <w:p>
      <w:pPr>
        <w:ind w:right="260"/>
        <w:spacing w:after="0" w:line="285" w:lineRule="auto"/>
        <w:rPr>
          <w:sz w:val="20"/>
          <w:szCs w:val="20"/>
          <w:color w:val="auto"/>
        </w:rPr>
      </w:pPr>
      <w:r>
        <w:rPr>
          <w:rFonts w:ascii="Arial" w:cs="Arial" w:eastAsia="Arial" w:hAnsi="Arial"/>
          <w:sz w:val="11"/>
          <w:szCs w:val="11"/>
          <w:color w:val="auto"/>
        </w:rPr>
        <w:t>As consideration for the transfer of the Project Holding Company Interests (and indirectly, the Guernsey Project) and the transactions contemplated by the Guernsey Purchase Agreement (collectively, the “Guernsey Acquisition” and, together with the Moxie Acquisition, the “Acquisitions”), the purchase price shall be $2.33 billion in cash, as adjusted in accordance with the Guernsey Purchase Agreement.</w:t>
      </w:r>
    </w:p>
    <w:p>
      <w:pPr>
        <w:spacing w:after="0" w:line="69" w:lineRule="exact"/>
        <w:rPr>
          <w:sz w:val="20"/>
          <w:szCs w:val="20"/>
          <w:color w:val="auto"/>
        </w:rPr>
      </w:pPr>
    </w:p>
    <w:p>
      <w:pPr>
        <w:ind w:right="120"/>
        <w:spacing w:after="0" w:line="262" w:lineRule="auto"/>
        <w:rPr>
          <w:sz w:val="20"/>
          <w:szCs w:val="20"/>
          <w:color w:val="auto"/>
        </w:rPr>
      </w:pPr>
      <w:r>
        <w:rPr>
          <w:rFonts w:ascii="Arial" w:cs="Arial" w:eastAsia="Arial" w:hAnsi="Arial"/>
          <w:sz w:val="11"/>
          <w:szCs w:val="11"/>
          <w:color w:val="auto"/>
        </w:rPr>
        <w:t>The obligations of the parties to complete the Guernsey Acquisition are subject to the satisfaction or waiver of customary closing conditions set forth in the Guernsey Purchase Agreement. At the closing of the Guernsey Acquisition, the Company shall deposit, or cause to be deposited, with an escrow agent a cash deposit equal to1% of the enterprise value of the Guernsey Acquisition to secure the post-closing purchase price adjustments, pursuant to an escrow agreement among the Company, the Guernsey Sellers, and the escrow agent.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Debt Commitment Letters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1"/>
          <w:szCs w:val="11"/>
          <w:color w:val="auto"/>
        </w:rPr>
        <w:t>In connection with the Acquisitions, Talen Energy Supply, LLC (“TES”), a wholly-owned subsidiary of the Company, entered into debt commitment letters, dated July 17, 2025 (the “Debt Commitment Letters”) with Citigroup Global Markets Inc. and RBC Capital Markets (collectively, the “Commitment Parties”), pursuant to which the Commitment Parties have agreed to provide TES with: (i) senior secured bridge facilities in an aggregate principal amount of up to $1.2 billion; and (ii) senior unsecured bridge facilities in an aggregate principal amount of up to $2.57 billion (collectively, the “Debt Commitment Financing”). The funding of the Debt Commitment Financing is contingent upon the satisfaction of certain conditions set forth in the Debt Commitment Letters.</w:t>
      </w:r>
    </w:p>
    <w:p>
      <w:pPr>
        <w:spacing w:after="0" w:line="86" w:lineRule="exact"/>
        <w:rPr>
          <w:sz w:val="20"/>
          <w:szCs w:val="20"/>
          <w:color w:val="auto"/>
        </w:rPr>
      </w:pPr>
    </w:p>
    <w:p>
      <w:pPr>
        <w:ind w:right="140"/>
        <w:spacing w:after="0" w:line="285" w:lineRule="auto"/>
        <w:rPr>
          <w:sz w:val="20"/>
          <w:szCs w:val="20"/>
          <w:color w:val="auto"/>
        </w:rPr>
      </w:pPr>
      <w:r>
        <w:rPr>
          <w:rFonts w:ascii="Arial" w:cs="Arial" w:eastAsia="Arial" w:hAnsi="Arial"/>
          <w:sz w:val="11"/>
          <w:szCs w:val="11"/>
          <w:color w:val="auto"/>
        </w:rPr>
        <w:t>The foregoing descriptions of the Moxie Purchase Agreement and Guernsey Purchase Agreement and the transactions contemplated thereby are not complete and are qualified in their entirety by reference to the full text of each of the Moxie Purchase Agreement and Guernsey Purchase Agreement, which will be filed as exhibits to a subsequent report of the Company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2" w:name="page3"/>
    <w:bookmarkEnd w:id="2"/>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On July 17, 2025, the Company issued a press release announcing the Acquisitions. A copy of the press release is furnished as Exhibit 99.1 to this Current Report on Form 8-K (this “Report”) and is incorporated herein by reference.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Also on July 17, 2025, as announced in the press release, the Company will be hosting an investor call beginning at 4:30 p.m. Eastern time to discuss the Acquisitions. A copy of the investor call presentation is furnished as Exhibit 99.2 to this Report and is incorporated herein by reference. The investor call webcast and presentation will be available both live and for subsequent replay via the Events page of Talen’s investor relations website at https://ir.talenenergy.com. Information contained on or accessible from Talen’s website is not, and shall not be deemed to be, incorporated by reference into this Report.</w:t>
      </w:r>
    </w:p>
    <w:p>
      <w:pPr>
        <w:spacing w:after="0" w:line="81" w:lineRule="exact"/>
        <w:rPr>
          <w:sz w:val="20"/>
          <w:szCs w:val="20"/>
          <w:color w:val="auto"/>
        </w:rPr>
      </w:pPr>
    </w:p>
    <w:p>
      <w:pPr>
        <w:jc w:val="both"/>
        <w:ind w:right="120"/>
        <w:spacing w:after="0" w:line="262" w:lineRule="auto"/>
        <w:rPr>
          <w:sz w:val="20"/>
          <w:szCs w:val="20"/>
          <w:color w:val="auto"/>
        </w:rPr>
      </w:pPr>
      <w:r>
        <w:rPr>
          <w:rFonts w:ascii="Arial" w:cs="Arial" w:eastAsia="Arial" w:hAnsi="Arial"/>
          <w:sz w:val="11"/>
          <w:szCs w:val="11"/>
          <w:color w:val="auto"/>
        </w:rPr>
        <w:t>The information provided under this Item 7.01 and in Exhibit 99.1 and Exhibit 99.2 to this Report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Forward-Looking Statements</w:t>
      </w:r>
    </w:p>
    <w:p>
      <w:pPr>
        <w:spacing w:after="0" w:line="117" w:lineRule="exact"/>
        <w:rPr>
          <w:sz w:val="20"/>
          <w:szCs w:val="20"/>
          <w:color w:val="auto"/>
        </w:rPr>
      </w:pPr>
    </w:p>
    <w:p>
      <w:pPr>
        <w:ind w:right="40"/>
        <w:spacing w:after="0" w:line="249" w:lineRule="auto"/>
        <w:rPr>
          <w:sz w:val="20"/>
          <w:szCs w:val="20"/>
          <w:color w:val="auto"/>
        </w:rPr>
      </w:pPr>
      <w:r>
        <w:rPr>
          <w:rFonts w:ascii="Arial" w:cs="Arial" w:eastAsia="Arial" w:hAnsi="Arial"/>
          <w:sz w:val="11"/>
          <w:szCs w:val="11"/>
          <w:color w:val="auto"/>
        </w:rPr>
        <w:t>This Report, including Exhibit 99.1 and Exhibit 99.2, may contain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Report,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proposed Moxie and Guernsey acquisitions, the expected closing of the proposed transactions and the timing thereof, the financing of the proposed transactions, capital expenditures, earnings, litigation, regulatory matters, hedging, liquidity and capital resources and accounting matters.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1"/>
          <w:szCs w:val="11"/>
          <w:color w:val="auto"/>
        </w:rPr>
        <w:t>Forward-looking statements are neither historical facts nor assurance of future performance. Instead, the statements are based on current beliefs, expectations and assumptions regarding the future of the Company’s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The Company undertakes no obligation, other than as required by law, to update or revise any forward-looking statements, whether as a result of new information, future events or otherwise.</w:t>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1"/>
          <w:szCs w:val="11"/>
          <w:color w:val="auto"/>
        </w:rPr>
        <w:t>A discussion of certain risks and uncertainties affecting the Company, and some of the factors that could cause the Company’s actual results to differ materially from those described in the forward-looking statements, can be found in the sections entitled “Risk Factors” and “Management’s Discussion and Analysis of Financial Condition and Results of Operations” in the Company’s Annual Report on Form 10-K for the year ended December 31, 2024, Quarterly Report on Form 10-Q for the quarter ended March 31, 2025 and other current and periodic reports, which have been, or will be, filed with the SEC and are, or will be, available in the Investor Relations section of the Company’s website (www.talenenergy.com) and on the SEC’s website (www.sec.gov). Information contained on or accessible from the Company’s website is not, and shall not be deemed to be, incorporated by reference into this Report or any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3" w:name="page4"/>
    <w:bookmarkEnd w:id="3"/>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4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4920" w:type="dxa"/>
            <w:vAlign w:val="bottom"/>
            <w:gridSpan w:val="3"/>
          </w:tcPr>
          <w:p>
            <w:pPr>
              <w:spacing w:after="0"/>
              <w:rPr>
                <w:sz w:val="20"/>
                <w:szCs w:val="20"/>
                <w:color w:val="auto"/>
              </w:rPr>
            </w:pPr>
            <w:r>
              <w:rPr>
                <w:rFonts w:ascii="Arial" w:cs="Arial" w:eastAsia="Arial" w:hAnsi="Arial"/>
                <w:sz w:val="11"/>
                <w:szCs w:val="11"/>
                <w:b w:val="1"/>
                <w:bCs w:val="1"/>
                <w:color w:val="auto"/>
              </w:rPr>
              <w:t>Description.</w:t>
            </w:r>
          </w:p>
        </w:tc>
      </w:tr>
      <w:tr>
        <w:trPr>
          <w:trHeight w:val="122"/>
        </w:trPr>
        <w:tc>
          <w:tcPr>
            <w:tcW w:w="2040" w:type="dxa"/>
            <w:vAlign w:val="bottom"/>
          </w:tcPr>
          <w:p>
            <w:pPr>
              <w:spacing w:after="0" w:line="122" w:lineRule="exact"/>
              <w:rPr>
                <w:sz w:val="20"/>
                <w:szCs w:val="20"/>
                <w:color w:val="auto"/>
              </w:rPr>
            </w:pPr>
            <w:r>
              <w:rPr>
                <w:rFonts w:ascii="Arial" w:cs="Arial" w:eastAsia="Arial" w:hAnsi="Arial"/>
                <w:sz w:val="11"/>
                <w:szCs w:val="11"/>
                <w:color w:val="auto"/>
              </w:rPr>
              <w:t>99.1</w:t>
            </w:r>
          </w:p>
        </w:tc>
        <w:tc>
          <w:tcPr>
            <w:tcW w:w="1720" w:type="dxa"/>
            <w:vAlign w:val="bottom"/>
            <w:tcBorders>
              <w:bottom w:val="single" w:sz="8" w:color="0000FF"/>
            </w:tcBorders>
          </w:tcPr>
          <w:p>
            <w:pPr>
              <w:spacing w:after="0" w:line="122" w:lineRule="exact"/>
              <w:rPr>
                <w:sz w:val="20"/>
                <w:szCs w:val="20"/>
                <w:color w:val="auto"/>
              </w:rPr>
            </w:pPr>
            <w:r>
              <w:rPr>
                <w:rFonts w:ascii="Arial" w:cs="Arial" w:eastAsia="Arial" w:hAnsi="Arial"/>
                <w:sz w:val="11"/>
                <w:szCs w:val="11"/>
                <w:color w:val="0000FF"/>
                <w:w w:val="97"/>
              </w:rPr>
              <w:t>Press Release dated July 17, 2025.</w:t>
            </w:r>
          </w:p>
        </w:tc>
        <w:tc>
          <w:tcPr>
            <w:tcW w:w="3200" w:type="dxa"/>
            <w:vAlign w:val="bottom"/>
            <w:gridSpan w:val="2"/>
          </w:tcPr>
          <w:p>
            <w:pPr>
              <w:spacing w:after="0"/>
              <w:rPr>
                <w:sz w:val="10"/>
                <w:szCs w:val="10"/>
                <w:color w:val="auto"/>
              </w:rPr>
            </w:pPr>
          </w:p>
        </w:tc>
      </w:tr>
      <w:tr>
        <w:trPr>
          <w:trHeight w:val="133"/>
        </w:trPr>
        <w:tc>
          <w:tcPr>
            <w:tcW w:w="2040" w:type="dxa"/>
            <w:vAlign w:val="bottom"/>
          </w:tcPr>
          <w:p>
            <w:pPr>
              <w:spacing w:after="0"/>
              <w:rPr>
                <w:sz w:val="20"/>
                <w:szCs w:val="20"/>
                <w:color w:val="auto"/>
              </w:rPr>
            </w:pPr>
            <w:r>
              <w:rPr>
                <w:rFonts w:ascii="Arial" w:cs="Arial" w:eastAsia="Arial" w:hAnsi="Arial"/>
                <w:sz w:val="11"/>
                <w:szCs w:val="11"/>
                <w:color w:val="auto"/>
              </w:rPr>
              <w:t>99.2</w:t>
            </w:r>
          </w:p>
        </w:tc>
        <w:tc>
          <w:tcPr>
            <w:tcW w:w="4920" w:type="dxa"/>
            <w:vAlign w:val="bottom"/>
            <w:gridSpan w:val="3"/>
          </w:tcPr>
          <w:p>
            <w:pPr>
              <w:spacing w:after="0"/>
              <w:rPr>
                <w:sz w:val="20"/>
                <w:szCs w:val="20"/>
                <w:color w:val="auto"/>
              </w:rPr>
            </w:pPr>
            <w:r>
              <w:rPr>
                <w:rFonts w:ascii="Arial" w:cs="Arial" w:eastAsia="Arial" w:hAnsi="Arial"/>
                <w:sz w:val="11"/>
                <w:szCs w:val="11"/>
                <w:color w:val="0000FF"/>
              </w:rPr>
              <w:t>Investor Call Presentation dated July 17, 2025.</w:t>
            </w:r>
          </w:p>
        </w:tc>
      </w:tr>
      <w:tr>
        <w:trPr>
          <w:trHeight w:val="20"/>
        </w:trPr>
        <w:tc>
          <w:tcPr>
            <w:tcW w:w="204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58"/>
        </w:trPr>
        <w:tc>
          <w:tcPr>
            <w:tcW w:w="2040" w:type="dxa"/>
            <w:vAlign w:val="bottom"/>
          </w:tcPr>
          <w:p>
            <w:pPr>
              <w:spacing w:after="0"/>
              <w:rPr>
                <w:sz w:val="20"/>
                <w:szCs w:val="20"/>
                <w:color w:val="auto"/>
              </w:rPr>
            </w:pPr>
            <w:r>
              <w:rPr>
                <w:rFonts w:ascii="Arial" w:cs="Arial" w:eastAsia="Arial" w:hAnsi="Arial"/>
                <w:sz w:val="11"/>
                <w:szCs w:val="11"/>
                <w:color w:val="auto"/>
              </w:rPr>
              <w:t>104</w:t>
            </w:r>
          </w:p>
        </w:tc>
        <w:tc>
          <w:tcPr>
            <w:tcW w:w="4920" w:type="dxa"/>
            <w:vAlign w:val="bottom"/>
            <w:gridSpan w:val="3"/>
          </w:tcPr>
          <w:p>
            <w:pPr>
              <w:spacing w:after="0"/>
              <w:rPr>
                <w:sz w:val="20"/>
                <w:szCs w:val="20"/>
                <w:color w:val="auto"/>
              </w:rPr>
            </w:pPr>
            <w:r>
              <w:rPr>
                <w:rFonts w:ascii="Arial" w:cs="Arial" w:eastAsia="Arial" w:hAnsi="Arial"/>
                <w:sz w:val="11"/>
                <w:szCs w:val="11"/>
                <w:color w:val="auto"/>
                <w:w w:val="98"/>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03" w:right="1440" w:bottom="1440" w:gutter="0" w:footer="0" w:header="0"/>
        </w:sectPr>
      </w:pPr>
    </w:p>
    <w:bookmarkStart w:id="4" w:name="page5"/>
    <w:bookmarkEnd w:id="4"/>
    <w:p>
      <w:pPr>
        <w:ind w:left="5300"/>
        <w:spacing w:after="0"/>
        <w:rPr>
          <w:sz w:val="20"/>
          <w:szCs w:val="20"/>
          <w:color w:val="auto"/>
        </w:rPr>
      </w:pPr>
      <w:r>
        <w:rPr>
          <w:rFonts w:ascii="Arial" w:cs="Arial" w:eastAsia="Arial" w:hAnsi="Arial"/>
          <w:sz w:val="11"/>
          <w:szCs w:val="11"/>
          <w:b w:val="1"/>
          <w:bCs w:val="1"/>
          <w:color w:val="auto"/>
        </w:rPr>
        <w:t>SIGNATURES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1"/>
                <w:szCs w:val="11"/>
                <w:color w:val="auto"/>
              </w:rPr>
              <w:t>TALEN ENERGY CORPORATION</w:t>
            </w:r>
          </w:p>
        </w:tc>
      </w:tr>
      <w:tr>
        <w:trPr>
          <w:trHeight w:val="162"/>
        </w:trPr>
        <w:tc>
          <w:tcPr>
            <w:tcW w:w="480" w:type="dxa"/>
            <w:vAlign w:val="bottom"/>
          </w:tcPr>
          <w:p>
            <w:pPr>
              <w:spacing w:after="0"/>
              <w:rPr>
                <w:sz w:val="20"/>
                <w:szCs w:val="20"/>
                <w:color w:val="auto"/>
              </w:rPr>
            </w:pPr>
            <w:r>
              <w:rPr>
                <w:rFonts w:ascii="Arial" w:cs="Arial" w:eastAsia="Arial" w:hAnsi="Arial"/>
                <w:sz w:val="11"/>
                <w:szCs w:val="11"/>
                <w:color w:val="auto"/>
              </w:rPr>
              <w:t>Date:</w:t>
            </w:r>
          </w:p>
        </w:tc>
        <w:tc>
          <w:tcPr>
            <w:tcW w:w="3240" w:type="dxa"/>
            <w:vAlign w:val="bottom"/>
          </w:tcPr>
          <w:p>
            <w:pPr>
              <w:ind w:left="220"/>
              <w:spacing w:after="0"/>
              <w:rPr>
                <w:sz w:val="20"/>
                <w:szCs w:val="20"/>
                <w:color w:val="auto"/>
              </w:rPr>
            </w:pPr>
            <w:r>
              <w:rPr>
                <w:rFonts w:ascii="Arial" w:cs="Arial" w:eastAsia="Arial" w:hAnsi="Arial"/>
                <w:sz w:val="11"/>
                <w:szCs w:val="11"/>
                <w:color w:val="auto"/>
              </w:rPr>
              <w:t>July 17, 2025</w:t>
            </w:r>
          </w:p>
        </w:tc>
        <w:tc>
          <w:tcPr>
            <w:tcW w:w="3120" w:type="dxa"/>
            <w:vAlign w:val="bottom"/>
          </w:tcPr>
          <w:p>
            <w:pPr>
              <w:ind w:left="2360"/>
              <w:spacing w:after="0"/>
              <w:rPr>
                <w:sz w:val="20"/>
                <w:szCs w:val="20"/>
                <w:color w:val="auto"/>
              </w:rPr>
            </w:pPr>
            <w:r>
              <w:rPr>
                <w:rFonts w:ascii="Arial" w:cs="Arial" w:eastAsia="Arial" w:hAnsi="Arial"/>
                <w:sz w:val="11"/>
                <w:szCs w:val="11"/>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/s/ Terry L. Nutt</w:t>
            </w:r>
          </w:p>
        </w:tc>
      </w:tr>
      <w:tr>
        <w:trPr>
          <w:trHeight w:val="151"/>
        </w:trPr>
        <w:tc>
          <w:tcPr>
            <w:tcW w:w="4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120" w:type="dxa"/>
            <w:vAlign w:val="bottom"/>
          </w:tcPr>
          <w:p>
            <w:pPr>
              <w:ind w:left="2360"/>
              <w:spacing w:after="0"/>
              <w:rPr>
                <w:sz w:val="20"/>
                <w:szCs w:val="20"/>
                <w:color w:val="auto"/>
              </w:rPr>
            </w:pPr>
            <w:r>
              <w:rPr>
                <w:rFonts w:ascii="Arial" w:cs="Arial" w:eastAsia="Arial" w:hAnsi="Arial"/>
                <w:sz w:val="11"/>
                <w:szCs w:val="11"/>
                <w:color w:val="auto"/>
              </w:rPr>
              <w:t>Name:</w:t>
            </w:r>
          </w:p>
        </w:tc>
        <w:tc>
          <w:tcPr>
            <w:tcW w:w="4460" w:type="dxa"/>
            <w:vAlign w:val="bottom"/>
          </w:tcPr>
          <w:p>
            <w:pPr>
              <w:ind w:left="20"/>
              <w:spacing w:after="0"/>
              <w:rPr>
                <w:sz w:val="20"/>
                <w:szCs w:val="20"/>
                <w:color w:val="auto"/>
              </w:rPr>
            </w:pPr>
            <w:r>
              <w:rPr>
                <w:rFonts w:ascii="Arial" w:cs="Arial" w:eastAsia="Arial" w:hAnsi="Arial"/>
                <w:sz w:val="11"/>
                <w:szCs w:val="11"/>
                <w:color w:val="auto"/>
              </w:rPr>
              <w:t>Terry L. Nutt</w:t>
            </w:r>
          </w:p>
        </w:tc>
      </w:tr>
      <w:tr>
        <w:trPr>
          <w:trHeight w:val="162"/>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120" w:type="dxa"/>
            <w:vAlign w:val="bottom"/>
          </w:tcPr>
          <w:p>
            <w:pPr>
              <w:ind w:left="2360"/>
              <w:spacing w:after="0"/>
              <w:rPr>
                <w:sz w:val="20"/>
                <w:szCs w:val="20"/>
                <w:color w:val="auto"/>
              </w:rPr>
            </w:pPr>
            <w:r>
              <w:rPr>
                <w:rFonts w:ascii="Arial" w:cs="Arial" w:eastAsia="Arial" w:hAnsi="Arial"/>
                <w:sz w:val="11"/>
                <w:szCs w:val="11"/>
                <w:color w:val="auto"/>
              </w:rPr>
              <w:t>Title:</w:t>
            </w:r>
          </w:p>
        </w:tc>
        <w:tc>
          <w:tcPr>
            <w:tcW w:w="4460" w:type="dxa"/>
            <w:vAlign w:val="bottom"/>
          </w:tcPr>
          <w:p>
            <w:pPr>
              <w:ind w:left="20"/>
              <w:spacing w:after="0"/>
              <w:rPr>
                <w:sz w:val="20"/>
                <w:szCs w:val="20"/>
                <w:color w:val="auto"/>
              </w:rPr>
            </w:pPr>
            <w:r>
              <w:rPr>
                <w:rFonts w:ascii="Arial" w:cs="Arial" w:eastAsia="Arial" w:hAnsi="Arial"/>
                <w:sz w:val="11"/>
                <w:szCs w:val="1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00"/>
          </w:cols>
          <w:pgMar w:left="300" w:top="1103"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1"/>
          <w:szCs w:val="1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Talen Energy Expands and Enhances Portfolio with Best-in-Class CCGT Acquisitions in PJM</w:t>
      </w:r>
    </w:p>
    <w:p>
      <w:pPr>
        <w:spacing w:after="0" w:line="271" w:lineRule="exact"/>
        <w:rPr>
          <w:sz w:val="20"/>
          <w:szCs w:val="20"/>
          <w:color w:val="auto"/>
        </w:rPr>
      </w:pPr>
    </w:p>
    <w:p>
      <w:pPr>
        <w:ind w:left="8" w:right="340"/>
        <w:spacing w:after="0" w:line="285" w:lineRule="auto"/>
        <w:rPr>
          <w:sz w:val="20"/>
          <w:szCs w:val="20"/>
          <w:color w:val="auto"/>
        </w:rPr>
      </w:pPr>
      <w:r>
        <w:rPr>
          <w:rFonts w:ascii="Arial" w:cs="Arial" w:eastAsia="Arial" w:hAnsi="Arial"/>
          <w:sz w:val="11"/>
          <w:szCs w:val="11"/>
          <w:b w:val="1"/>
          <w:bCs w:val="1"/>
          <w:color w:val="auto"/>
        </w:rPr>
        <w:t xml:space="preserve">HOUSTON, July 17, 2025 </w:t>
      </w:r>
      <w:r>
        <w:rPr>
          <w:rFonts w:ascii="Arial" w:cs="Arial" w:eastAsia="Arial" w:hAnsi="Arial"/>
          <w:sz w:val="11"/>
          <w:szCs w:val="11"/>
          <w:color w:val="auto"/>
        </w:rPr>
        <w:t>– Talen Energy Corporation (“Talen,” “we,” or “our”) (</w:t>
      </w:r>
      <w:r>
        <w:rPr>
          <w:rFonts w:ascii="Arial" w:cs="Arial" w:eastAsia="Arial" w:hAnsi="Arial"/>
          <w:sz w:val="11"/>
          <w:szCs w:val="11"/>
          <w:u w:val="single" w:color="auto"/>
          <w:color w:val="0563C1"/>
        </w:rPr>
        <w:t>NASDAQ: TLN</w:t>
      </w:r>
      <w:r>
        <w:rPr>
          <w:rFonts w:ascii="Arial" w:cs="Arial" w:eastAsia="Arial" w:hAnsi="Arial"/>
          <w:sz w:val="11"/>
          <w:szCs w:val="11"/>
          <w:color w:val="auto"/>
        </w:rPr>
        <w:t>), a leading independent power producer, announced it has signed definitive agreements to acquire Caithness Energy’s Moxie Freedom</w:t>
      </w:r>
      <w:r>
        <w:rPr>
          <w:rFonts w:ascii="Arial" w:cs="Arial" w:eastAsia="Arial" w:hAnsi="Arial"/>
          <w:sz w:val="11"/>
          <w:szCs w:val="11"/>
          <w:b w:val="1"/>
          <w:bCs w:val="1"/>
          <w:color w:val="auto"/>
        </w:rPr>
        <w:t xml:space="preserve"> </w:t>
      </w:r>
      <w:r>
        <w:rPr>
          <w:rFonts w:ascii="Arial" w:cs="Arial" w:eastAsia="Arial" w:hAnsi="Arial"/>
          <w:sz w:val="11"/>
          <w:szCs w:val="11"/>
          <w:color w:val="auto"/>
        </w:rPr>
        <w:t>Energy Center (“Moxie”) in Pennsylvania and Caithness Energy and BlackRock’s Guernsey Power Station (“Guernsey”) in Ohio, both combined-cycle gas-fired plants located within the PJM power market.</w:t>
      </w:r>
    </w:p>
    <w:p>
      <w:pPr>
        <w:spacing w:after="0" w:line="69" w:lineRule="exact"/>
        <w:rPr>
          <w:sz w:val="20"/>
          <w:szCs w:val="20"/>
          <w:color w:val="auto"/>
        </w:rPr>
      </w:pPr>
    </w:p>
    <w:p>
      <w:pPr>
        <w:ind w:left="8" w:right="200"/>
        <w:spacing w:after="0" w:line="268" w:lineRule="auto"/>
        <w:rPr>
          <w:sz w:val="20"/>
          <w:szCs w:val="20"/>
          <w:color w:val="auto"/>
        </w:rPr>
      </w:pPr>
      <w:r>
        <w:rPr>
          <w:rFonts w:ascii="Arial" w:cs="Arial" w:eastAsia="Arial" w:hAnsi="Arial"/>
          <w:sz w:val="11"/>
          <w:szCs w:val="11"/>
          <w:color w:val="auto"/>
        </w:rPr>
        <w:t>The net acquisition price is $3.5 billion after adjusting for estimated tax benefits, or approximately $3.8 billion gross. The net purchase price reflects an attractive acquisition multiple of 6.7x 2026 EV/EBITDA for two of the most efficient natural gas plants in PJM, at a material discount to current new-build CCGT costs. The transaction is expected to be immediately accretive to free cash flow per share by over 40% in 2026, and over 50% through 2029.</w:t>
      </w:r>
    </w:p>
    <w:p>
      <w:pPr>
        <w:spacing w:after="0" w:line="87" w:lineRule="exact"/>
        <w:rPr>
          <w:sz w:val="20"/>
          <w:szCs w:val="20"/>
          <w:color w:val="auto"/>
        </w:rPr>
      </w:pPr>
    </w:p>
    <w:p>
      <w:pPr>
        <w:ind w:left="8" w:right="160"/>
        <w:spacing w:after="0" w:line="262" w:lineRule="auto"/>
        <w:rPr>
          <w:sz w:val="20"/>
          <w:szCs w:val="20"/>
          <w:color w:val="auto"/>
        </w:rPr>
      </w:pPr>
      <w:r>
        <w:rPr>
          <w:rFonts w:ascii="Arial" w:cs="Arial" w:eastAsia="Arial" w:hAnsi="Arial"/>
          <w:sz w:val="11"/>
          <w:szCs w:val="11"/>
          <w:color w:val="auto"/>
        </w:rPr>
        <w:t>“This acquisition enhances Talen’s fleet by selectively adding modern, highly efficient baseload H-class CCGTs in Talen’s key markets, where we are an innovator in data center contracting,” said Mac McFarland, Talen President and Chief Executive Officer. “The transaction is immediately and highly accretive, maintains our balance sheet discipline, and adds more than the equivalent of another Susquehanna nuclear plant to our platform, further enabling large load service.”</w:t>
      </w:r>
    </w:p>
    <w:p>
      <w:pPr>
        <w:spacing w:after="0" w:line="81" w:lineRule="exact"/>
        <w:rPr>
          <w:sz w:val="20"/>
          <w:szCs w:val="20"/>
          <w:color w:val="auto"/>
        </w:rPr>
      </w:pPr>
    </w:p>
    <w:p>
      <w:pPr>
        <w:ind w:left="8" w:right="120"/>
        <w:spacing w:after="0" w:line="268" w:lineRule="auto"/>
        <w:rPr>
          <w:sz w:val="20"/>
          <w:szCs w:val="20"/>
          <w:color w:val="auto"/>
        </w:rPr>
      </w:pPr>
      <w:r>
        <w:rPr>
          <w:rFonts w:ascii="Arial" w:cs="Arial" w:eastAsia="Arial" w:hAnsi="Arial"/>
          <w:sz w:val="11"/>
          <w:szCs w:val="11"/>
          <w:color w:val="auto"/>
        </w:rPr>
        <w:t>“Caithness has built an extensive portfolio of leading-edge power generation facilities to support our valued customers,” said James D. Bishop, Jr., Chairman and CEO of Caithness Energy. “We are proud of what we have accomplished and this sale to Talen positions the assets for continued success under a strong and successful management team.”</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Key Strategic and Acquisition Highlights</w:t>
      </w:r>
    </w:p>
    <w:p>
      <w:pPr>
        <w:spacing w:after="0" w:line="153" w:lineRule="exact"/>
        <w:rPr>
          <w:sz w:val="20"/>
          <w:szCs w:val="20"/>
          <w:color w:val="auto"/>
        </w:rPr>
      </w:pPr>
    </w:p>
    <w:p>
      <w:pPr>
        <w:ind w:left="208" w:right="60" w:hanging="208"/>
        <w:spacing w:after="0" w:line="285" w:lineRule="auto"/>
        <w:tabs>
          <w:tab w:leader="none" w:pos="201"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Expands Talen’s Fleet with Modern, High Efficiency, H-Class CCGTs: </w:t>
      </w:r>
      <w:r>
        <w:rPr>
          <w:rFonts w:ascii="Arial" w:cs="Arial" w:eastAsia="Arial" w:hAnsi="Arial"/>
          <w:sz w:val="11"/>
          <w:szCs w:val="11"/>
          <w:color w:val="auto"/>
        </w:rPr>
        <w:t>These highly efficient plants add both baseload generation and cash flow diversification. The plants have an average heat rate of 6,550 Btu/kWh. Their highly</w:t>
      </w:r>
      <w:r>
        <w:rPr>
          <w:rFonts w:ascii="Arial" w:cs="Arial" w:eastAsia="Arial" w:hAnsi="Arial"/>
          <w:sz w:val="11"/>
          <w:szCs w:val="11"/>
          <w:b w:val="1"/>
          <w:bCs w:val="1"/>
          <w:color w:val="auto"/>
        </w:rPr>
        <w:t xml:space="preserve"> </w:t>
      </w:r>
      <w:r>
        <w:rPr>
          <w:rFonts w:ascii="Arial" w:cs="Arial" w:eastAsia="Arial" w:hAnsi="Arial"/>
          <w:sz w:val="11"/>
          <w:szCs w:val="11"/>
          <w:color w:val="auto"/>
        </w:rPr>
        <w:t>efficient dispatch profile results in significant energy margin and strong cash flow conversion and increases our annual generation by 50% from approximately 40 TWh to 60 TWh.</w:t>
      </w:r>
    </w:p>
    <w:p>
      <w:pPr>
        <w:spacing w:after="0" w:line="68" w:lineRule="exact"/>
        <w:rPr>
          <w:rFonts w:ascii="Arial" w:cs="Arial" w:eastAsia="Arial" w:hAnsi="Arial"/>
          <w:sz w:val="11"/>
          <w:szCs w:val="11"/>
          <w:color w:val="auto"/>
        </w:rPr>
      </w:pPr>
    </w:p>
    <w:p>
      <w:pPr>
        <w:ind w:left="208"/>
        <w:spacing w:after="0"/>
        <w:rPr>
          <w:rFonts w:ascii="Arial" w:cs="Arial" w:eastAsia="Arial" w:hAnsi="Arial"/>
          <w:sz w:val="11"/>
          <w:szCs w:val="11"/>
          <w:color w:val="auto"/>
        </w:rPr>
      </w:pPr>
      <w:r>
        <w:rPr>
          <w:rFonts w:ascii="Arial" w:cs="Arial" w:eastAsia="Arial" w:hAnsi="Arial"/>
          <w:sz w:val="10"/>
          <w:szCs w:val="10"/>
          <w:color w:val="auto"/>
        </w:rPr>
        <w:t>The plants benefit from an advantaged location and reliable access to gas pipeline infrastructure from the Marcellus and Utica shale formations, with their rich natural gas reserves and interconnects to primary natural gas pipelines.</w:t>
      </w:r>
    </w:p>
    <w:p>
      <w:pPr>
        <w:spacing w:after="0" w:line="128" w:lineRule="exact"/>
        <w:rPr>
          <w:rFonts w:ascii="Arial" w:cs="Arial" w:eastAsia="Arial" w:hAnsi="Arial"/>
          <w:sz w:val="11"/>
          <w:szCs w:val="11"/>
          <w:color w:val="auto"/>
        </w:rPr>
      </w:pPr>
    </w:p>
    <w:p>
      <w:pPr>
        <w:jc w:val="both"/>
        <w:ind w:left="208" w:right="260" w:hanging="208"/>
        <w:spacing w:after="0" w:line="253" w:lineRule="auto"/>
        <w:tabs>
          <w:tab w:leader="none" w:pos="201"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Enhances Platform for Data Center and Large-load Contracting: </w:t>
      </w:r>
      <w:r>
        <w:rPr>
          <w:rFonts w:ascii="Arial" w:cs="Arial" w:eastAsia="Arial" w:hAnsi="Arial"/>
          <w:sz w:val="11"/>
          <w:szCs w:val="11"/>
          <w:color w:val="auto"/>
        </w:rPr>
        <w:t>The addition of the facilities to Talen’s portfolio enhances Talen’s ability to offer reliable, scalable, grid-supported and regionally diverse low-carbon capacity to</w:t>
      </w:r>
      <w:r>
        <w:rPr>
          <w:rFonts w:ascii="Arial" w:cs="Arial" w:eastAsia="Arial" w:hAnsi="Arial"/>
          <w:sz w:val="11"/>
          <w:szCs w:val="11"/>
          <w:b w:val="1"/>
          <w:bCs w:val="1"/>
          <w:color w:val="auto"/>
        </w:rPr>
        <w:t xml:space="preserve"> </w:t>
      </w:r>
      <w:r>
        <w:rPr>
          <w:rFonts w:ascii="Arial" w:cs="Arial" w:eastAsia="Arial" w:hAnsi="Arial"/>
          <w:sz w:val="11"/>
          <w:szCs w:val="11"/>
          <w:color w:val="auto"/>
        </w:rPr>
        <w:t>hyperscale data centers and large commercial off-takers. With greater operational flexibility, proximity to key load pockets, and proven track record in bilateral contracting, the proforma company will be well positioned to meet the evolving needs of high-growth, 24/7 power demand sectors.</w:t>
      </w:r>
    </w:p>
    <w:p>
      <w:pPr>
        <w:spacing w:after="0" w:line="94" w:lineRule="exact"/>
        <w:rPr>
          <w:rFonts w:ascii="Arial" w:cs="Arial" w:eastAsia="Arial" w:hAnsi="Arial"/>
          <w:sz w:val="11"/>
          <w:szCs w:val="11"/>
          <w:color w:val="auto"/>
        </w:rPr>
      </w:pPr>
    </w:p>
    <w:p>
      <w:pPr>
        <w:ind w:left="208" w:hanging="208"/>
        <w:spacing w:after="0"/>
        <w:tabs>
          <w:tab w:leader="none" w:pos="208"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Unlocks Material Value Day One: </w:t>
      </w:r>
      <w:r>
        <w:rPr>
          <w:rFonts w:ascii="Arial" w:cs="Arial" w:eastAsia="Arial" w:hAnsi="Arial"/>
          <w:sz w:val="11"/>
          <w:szCs w:val="11"/>
          <w:color w:val="auto"/>
        </w:rPr>
        <w:t>Immediately accretive to free cash flow per share by over 40% in 2026, and over 50% through 2029.</w:t>
      </w:r>
    </w:p>
    <w:p>
      <w:pPr>
        <w:spacing w:after="0" w:line="107" w:lineRule="exact"/>
        <w:rPr>
          <w:rFonts w:ascii="Arial" w:cs="Arial" w:eastAsia="Arial" w:hAnsi="Arial"/>
          <w:sz w:val="11"/>
          <w:szCs w:val="11"/>
          <w:color w:val="auto"/>
        </w:rPr>
      </w:pPr>
    </w:p>
    <w:p>
      <w:pPr>
        <w:ind w:left="208" w:hanging="208"/>
        <w:spacing w:after="0"/>
        <w:tabs>
          <w:tab w:leader="none" w:pos="208"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Maintains Balance Sheet Strength: </w:t>
      </w:r>
      <w:r>
        <w:rPr>
          <w:rFonts w:ascii="Arial" w:cs="Arial" w:eastAsia="Arial" w:hAnsi="Arial"/>
          <w:sz w:val="11"/>
          <w:szCs w:val="11"/>
          <w:color w:val="auto"/>
        </w:rPr>
        <w:t>Talen expects robust pro forma cash flows to drive rapid deleveraging and is committed to maintaining a leverage target of 3.5x or lower, anticipated by year-end 2026.</w:t>
      </w:r>
    </w:p>
    <w:p>
      <w:pPr>
        <w:spacing w:after="0" w:line="116" w:lineRule="exact"/>
        <w:rPr>
          <w:rFonts w:ascii="Arial" w:cs="Arial" w:eastAsia="Arial" w:hAnsi="Arial"/>
          <w:sz w:val="11"/>
          <w:szCs w:val="11"/>
          <w:b w:val="1"/>
          <w:bCs w:val="1"/>
          <w:color w:val="auto"/>
        </w:rPr>
      </w:pPr>
    </w:p>
    <w:p>
      <w:pPr>
        <w:ind w:left="208" w:right="260" w:hanging="208"/>
        <w:spacing w:after="0" w:line="268" w:lineRule="auto"/>
        <w:tabs>
          <w:tab w:leader="none" w:pos="201"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Capital Allocation Discipline: </w:t>
      </w:r>
      <w:r>
        <w:rPr>
          <w:rFonts w:ascii="Arial" w:cs="Arial" w:eastAsia="Arial" w:hAnsi="Arial"/>
          <w:sz w:val="11"/>
          <w:szCs w:val="11"/>
          <w:color w:val="auto"/>
        </w:rPr>
        <w:t>The acquisition supports a target of approximately $500 million of annual share repurchases through the 2026 deleveraging period with an aimed return to capital allocation of 70% of adjusted free</w:t>
      </w:r>
      <w:r>
        <w:rPr>
          <w:rFonts w:ascii="Arial" w:cs="Arial" w:eastAsia="Arial" w:hAnsi="Arial"/>
          <w:sz w:val="11"/>
          <w:szCs w:val="11"/>
          <w:b w:val="1"/>
          <w:bCs w:val="1"/>
          <w:color w:val="auto"/>
        </w:rPr>
        <w:t xml:space="preserve"> </w:t>
      </w:r>
      <w:r>
        <w:rPr>
          <w:rFonts w:ascii="Arial" w:cs="Arial" w:eastAsia="Arial" w:hAnsi="Arial"/>
          <w:sz w:val="11"/>
          <w:szCs w:val="11"/>
          <w:color w:val="auto"/>
        </w:rPr>
        <w:t>cash flow thereafter.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Additional Transaction Details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Talen expects to issue approximately $3.8 billion in new debt to fund the acquisitions and refinance target debt, using both secured and unsecured instruments.</w:t>
      </w:r>
    </w:p>
    <w:p>
      <w:pPr>
        <w:spacing w:after="0" w:line="117"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The Moxie and Guernsey transactions are both expected to close in Q4 2025. Each transaction is subject to the satisfaction of customary closing conditions, including the expiration or termination of the waiting period pursuant to the Hart-Scott-Rodino act, and regulatory approvals from the Federal Energy Regulatory Commission and other regulatory agencies.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part of the transaction, Talen is also acquiring the equity interests in Guernsey owned by the mid-market infrastructure funds managed by Global Infrastructure Partners (GIP), a part of BlackRock.</w:t>
      </w: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308"/>
          </w:cols>
          <w:pgMar w:left="292" w:top="131"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Advisors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RBC Capital Markets and Citi are co-lead financial advisors to Talen. Kirkland &amp; Ellis LLP and White &amp; Case LLP are legal counsel to Talen. Cahill Gordon &amp; Reindel LLP is legal counsel to RBC Capital Markets and Citi.</w:t>
      </w:r>
    </w:p>
    <w:p>
      <w:pPr>
        <w:spacing w:after="0" w:line="108" w:lineRule="exact"/>
        <w:rPr>
          <w:sz w:val="20"/>
          <w:szCs w:val="20"/>
          <w:color w:val="auto"/>
        </w:rPr>
      </w:pPr>
    </w:p>
    <w:p>
      <w:pPr>
        <w:ind w:right="280"/>
        <w:spacing w:after="0" w:line="268" w:lineRule="auto"/>
        <w:rPr>
          <w:sz w:val="20"/>
          <w:szCs w:val="20"/>
          <w:color w:val="auto"/>
        </w:rPr>
      </w:pPr>
      <w:r>
        <w:rPr>
          <w:rFonts w:ascii="Arial" w:cs="Arial" w:eastAsia="Arial" w:hAnsi="Arial"/>
          <w:sz w:val="11"/>
          <w:szCs w:val="11"/>
          <w:color w:val="auto"/>
        </w:rPr>
        <w:t>Lazard is lead financial advisor to Caithness. Paul Hastings LLP is legal counsel to Caithness. Morgan Stanley &amp; Co. LLC served as lead financial advisor and Simpson Thacher &amp; Bartlett LLP is legal counsel to Global Infrastructure Partners, a part of BlackRock.</w:t>
      </w: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 Call</w:t>
      </w:r>
    </w:p>
    <w:p>
      <w:pPr>
        <w:spacing w:after="0" w:line="153" w:lineRule="exact"/>
        <w:rPr>
          <w:sz w:val="20"/>
          <w:szCs w:val="20"/>
          <w:color w:val="auto"/>
        </w:rPr>
      </w:pPr>
    </w:p>
    <w:p>
      <w:pPr>
        <w:jc w:val="both"/>
        <w:ind w:right="80"/>
        <w:spacing w:after="0" w:line="262" w:lineRule="auto"/>
        <w:rPr>
          <w:sz w:val="20"/>
          <w:szCs w:val="20"/>
          <w:color w:val="auto"/>
        </w:rPr>
      </w:pPr>
      <w:r>
        <w:rPr>
          <w:rFonts w:ascii="Arial" w:cs="Arial" w:eastAsia="Arial" w:hAnsi="Arial"/>
          <w:sz w:val="11"/>
          <w:szCs w:val="11"/>
          <w:color w:val="auto"/>
        </w:rPr>
        <w:t xml:space="preserve">Talen will host an investor call at 4:30 p.m. EDT today, Thursday, July 17, 2025. To participate in the call, please register for the webcast via the page linked </w:t>
      </w:r>
      <w:r>
        <w:rPr>
          <w:rFonts w:ascii="Arial" w:cs="Arial" w:eastAsia="Arial" w:hAnsi="Arial"/>
          <w:sz w:val="11"/>
          <w:szCs w:val="11"/>
          <w:u w:val="single" w:color="auto"/>
          <w:color w:val="0563C1"/>
        </w:rPr>
        <w:t>here</w:t>
      </w:r>
      <w:r>
        <w:rPr>
          <w:rFonts w:ascii="Arial" w:cs="Arial" w:eastAsia="Arial" w:hAnsi="Arial"/>
          <w:sz w:val="11"/>
          <w:szCs w:val="11"/>
          <w:color w:val="auto"/>
        </w:rPr>
        <w:t xml:space="preserve">. Participants can also join by phone by registering via the form linked </w:t>
      </w:r>
      <w:r>
        <w:rPr>
          <w:rFonts w:ascii="Arial" w:cs="Arial" w:eastAsia="Arial" w:hAnsi="Arial"/>
          <w:sz w:val="11"/>
          <w:szCs w:val="11"/>
          <w:u w:val="single" w:color="auto"/>
          <w:color w:val="0563C1"/>
        </w:rPr>
        <w:t>here</w:t>
      </w:r>
      <w:r>
        <w:rPr>
          <w:rFonts w:ascii="Arial" w:cs="Arial" w:eastAsia="Arial" w:hAnsi="Arial"/>
          <w:sz w:val="11"/>
          <w:szCs w:val="11"/>
          <w:color w:val="auto"/>
        </w:rPr>
        <w:t xml:space="preserve"> prior to the start time of the call to receive a conference call dial-in number. For those unable to participate in the live event, a digital replay will be archived for approximately one year and available on the Events page of Talen’s Investor Relations website linked </w:t>
      </w:r>
      <w:r>
        <w:rPr>
          <w:rFonts w:ascii="Arial" w:cs="Arial" w:eastAsia="Arial" w:hAnsi="Arial"/>
          <w:sz w:val="11"/>
          <w:szCs w:val="11"/>
          <w:u w:val="single" w:color="auto"/>
          <w:color w:val="0563C1"/>
        </w:rPr>
        <w:t>here</w:t>
      </w:r>
      <w:r>
        <w:rPr>
          <w:rFonts w:ascii="Arial" w:cs="Arial" w:eastAsia="Arial" w:hAnsi="Arial"/>
          <w:sz w:val="11"/>
          <w:szCs w:val="1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Talen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1"/>
          <w:szCs w:val="11"/>
          <w:color w:val="auto"/>
        </w:rPr>
        <w:t>Talen Energy (</w:t>
      </w:r>
      <w:r>
        <w:rPr>
          <w:rFonts w:ascii="Arial" w:cs="Arial" w:eastAsia="Arial" w:hAnsi="Arial"/>
          <w:sz w:val="11"/>
          <w:szCs w:val="11"/>
          <w:u w:val="single" w:color="auto"/>
          <w:color w:val="0563C1"/>
        </w:rPr>
        <w:t>NASDAQ: TLN</w:t>
      </w:r>
      <w:r>
        <w:rPr>
          <w:rFonts w:ascii="Arial" w:cs="Arial" w:eastAsia="Arial" w:hAnsi="Arial"/>
          <w:sz w:val="11"/>
          <w:szCs w:val="11"/>
          <w:color w:val="auto"/>
        </w:rPr>
        <w:t xml:space="preserve">) is a leading independent power producer and energy infrastructure company dedicated to powering the future. We own and operate approximately 10.7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 w:cs="Arial" w:eastAsia="Arial" w:hAnsi="Arial"/>
          <w:sz w:val="11"/>
          <w:szCs w:val="11"/>
          <w:u w:val="single" w:color="auto"/>
          <w:color w:val="0563C1"/>
        </w:rPr>
        <w:t>https://www.talenenergy.com/</w:t>
      </w:r>
      <w:r>
        <w:rPr>
          <w:rFonts w:ascii="Arial" w:cs="Arial" w:eastAsia="Arial" w:hAnsi="Arial"/>
          <w:sz w:val="11"/>
          <w:szCs w:val="1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Caithness</w:t>
      </w:r>
    </w:p>
    <w:p>
      <w:pPr>
        <w:spacing w:after="0" w:line="162" w:lineRule="exact"/>
        <w:rPr>
          <w:sz w:val="20"/>
          <w:szCs w:val="20"/>
          <w:color w:val="auto"/>
        </w:rPr>
      </w:pPr>
    </w:p>
    <w:p>
      <w:pPr>
        <w:ind w:right="160"/>
        <w:spacing w:after="0" w:line="253" w:lineRule="auto"/>
        <w:rPr>
          <w:sz w:val="20"/>
          <w:szCs w:val="20"/>
          <w:color w:val="auto"/>
        </w:rPr>
      </w:pPr>
      <w:r>
        <w:rPr>
          <w:rFonts w:ascii="Arial" w:cs="Arial" w:eastAsia="Arial" w:hAnsi="Arial"/>
          <w:sz w:val="11"/>
          <w:szCs w:val="11"/>
          <w:color w:val="auto"/>
        </w:rPr>
        <w:t>Caithness Energy, LLC is a privately held independent power producer with over 30 years of experience developing, managing, and operating innovative power generation projects. Headquartered in New York, Caithness focuses on clean, efficient natural gas and renewable energy assets, including the Moxie and Guernsey facilities—some of the most advanced combined-cycle gas plants in the U.S. The company is known for its leadership in developing state-of-the-art, low-carbon generation solutions that support reliable power delivery and environmental stewardship.</w:t>
      </w: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Forward-Looking Statements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1"/>
          <w:szCs w:val="11"/>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proposed Moxie and Guernsey acquisitions, the expected closing of the proposed transactions and the timing thereof, the financing of the proposed transactions, capital expenditures,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80"/>
          </w:cols>
          <w:pgMar w:left="300" w:top="1283" w:right="319" w:bottom="1440" w:gutter="0" w:footer="0" w:header="0"/>
        </w:sectPr>
      </w:pPr>
    </w:p>
    <w:bookmarkStart w:id="7" w:name="page8"/>
    <w:bookmarkEnd w:id="7"/>
    <w:p>
      <w:pPr>
        <w:ind w:left="8"/>
        <w:spacing w:after="0"/>
        <w:rPr>
          <w:sz w:val="20"/>
          <w:szCs w:val="20"/>
          <w:color w:val="auto"/>
        </w:rPr>
      </w:pPr>
      <w:r>
        <w:rPr>
          <w:rFonts w:ascii="Arial" w:cs="Arial" w:eastAsia="Arial" w:hAnsi="Arial"/>
          <w:sz w:val="11"/>
          <w:szCs w:val="11"/>
          <w:b w:val="1"/>
          <w:bCs w:val="1"/>
          <w:color w:val="auto"/>
        </w:rPr>
        <w:t>Talen Contact Information</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Investor Relations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Sergio Castro, Talen Energy</w:t>
      </w:r>
    </w:p>
    <w:p>
      <w:pPr>
        <w:ind w:left="8"/>
        <w:spacing w:after="0" w:line="222" w:lineRule="auto"/>
        <w:rPr>
          <w:sz w:val="20"/>
          <w:szCs w:val="20"/>
          <w:color w:val="auto"/>
        </w:rPr>
      </w:pPr>
      <w:r>
        <w:rPr>
          <w:rFonts w:ascii="Arial" w:cs="Arial" w:eastAsia="Arial" w:hAnsi="Arial"/>
          <w:sz w:val="11"/>
          <w:szCs w:val="11"/>
          <w:color w:val="auto"/>
        </w:rPr>
        <w:t>Vice President &amp; Treasurer</w:t>
      </w:r>
    </w:p>
    <w:p>
      <w:pPr>
        <w:ind w:left="8" w:right="8439" w:hanging="8"/>
        <w:spacing w:after="0" w:line="260" w:lineRule="auto"/>
        <w:tabs>
          <w:tab w:leader="none" w:pos="290"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203-5315 </w:t>
      </w:r>
      <w:r>
        <w:rPr>
          <w:rFonts w:ascii="Arial" w:cs="Arial" w:eastAsia="Arial" w:hAnsi="Arial"/>
          <w:sz w:val="10"/>
          <w:szCs w:val="10"/>
          <w:color w:val="0563C1"/>
        </w:rPr>
        <w:t>InvestorRelations@talenenergy.com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11010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1090" cy="5715"/>
                    </a:xfrm>
                    <a:prstGeom prst="rect">
                      <a:avLst/>
                    </a:prstGeom>
                    <a:noFill/>
                  </pic:spPr>
                </pic:pic>
              </a:graphicData>
            </a:graphic>
          </wp:anchor>
        </w:drawing>
      </w:r>
    </w:p>
    <w:p>
      <w:pPr>
        <w:spacing w:after="0" w:line="21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Media Contact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Taryne Williams, Talen Energy</w:t>
      </w:r>
    </w:p>
    <w:p>
      <w:pPr>
        <w:ind w:left="8"/>
        <w:spacing w:after="0"/>
        <w:rPr>
          <w:sz w:val="20"/>
          <w:szCs w:val="20"/>
          <w:color w:val="auto"/>
        </w:rPr>
      </w:pPr>
      <w:r>
        <w:rPr>
          <w:rFonts w:ascii="Arial" w:cs="Arial" w:eastAsia="Arial" w:hAnsi="Arial"/>
          <w:sz w:val="11"/>
          <w:szCs w:val="11"/>
          <w:color w:val="auto"/>
        </w:rPr>
        <w:t>Director, Corporate Communications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0563C1"/>
        </w:rPr>
        <w:t>Taryne.Williams@talenenergy.com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79"/>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0167"/>
          </w:cols>
          <w:pgMar w:left="292" w:top="1292" w:right="1440" w:bottom="144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2025-07-17T15:07:18Z</dcterms:created>
  <dcterms:modified xsi:type="dcterms:W3CDTF">2025-07-17T15:07:18Z</dcterms:modified>
</cp:coreProperties>
</file>