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2196465</wp:posOffset>
            </wp:positionH>
            <wp:positionV relativeFrom="paragraph">
              <wp:posOffset>387350</wp:posOffset>
            </wp:positionV>
            <wp:extent cx="2528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300990</wp:posOffset>
            </wp:positionV>
            <wp:extent cx="2537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396875</wp:posOffset>
            </wp:positionV>
            <wp:extent cx="253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Talen Energy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318770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4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40" w:type="dxa"/>
            <w:vAlign w:val="bottom"/>
          </w:tcPr>
          <w:p>
            <w:pPr>
              <w:jc w:val="right"/>
              <w:ind w:right="595"/>
              <w:spacing w:after="0"/>
              <w:rPr>
                <w:sz w:val="20"/>
                <w:szCs w:val="20"/>
                <w:color w:val="auto"/>
              </w:rPr>
            </w:pPr>
            <w:r>
              <w:rPr>
                <w:rFonts w:ascii="Times New Roman" w:cs="Times New Roman" w:eastAsia="Times New Roman" w:hAnsi="Times New Roman"/>
                <w:sz w:val="18"/>
                <w:szCs w:val="18"/>
                <w:b w:val="1"/>
                <w:bCs w:val="1"/>
                <w:color w:val="auto"/>
              </w:rPr>
              <w:t>001-37388</w:t>
            </w:r>
          </w:p>
        </w:tc>
        <w:tc>
          <w:tcPr>
            <w:tcW w:w="14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47-1197305</w:t>
            </w:r>
          </w:p>
        </w:tc>
      </w:tr>
      <w:tr>
        <w:trPr>
          <w:trHeight w:val="27"/>
        </w:trPr>
        <w:tc>
          <w:tcPr>
            <w:tcW w:w="4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196"/>
        </w:trPr>
        <w:tc>
          <w:tcPr>
            <w:tcW w:w="4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(Commission File Number)</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686"/>
        </w:trPr>
        <w:tc>
          <w:tcPr>
            <w:tcW w:w="4280" w:type="dxa"/>
            <w:vAlign w:val="bottom"/>
            <w:gridSpan w:val="2"/>
          </w:tcPr>
          <w:p>
            <w:pPr>
              <w:jc w:val="center"/>
              <w:ind w:left="1035"/>
              <w:spacing w:after="0"/>
              <w:rPr>
                <w:sz w:val="20"/>
                <w:szCs w:val="20"/>
                <w:color w:val="auto"/>
              </w:rPr>
            </w:pPr>
            <w:r>
              <w:rPr>
                <w:rFonts w:ascii="Times New Roman" w:cs="Times New Roman" w:eastAsia="Times New Roman" w:hAnsi="Times New Roman"/>
                <w:sz w:val="18"/>
                <w:szCs w:val="18"/>
                <w:b w:val="1"/>
                <w:bCs w:val="1"/>
                <w:color w:val="auto"/>
                <w:w w:val="99"/>
              </w:rPr>
              <w:t>2929 Allen Pkwy, Suite 2200</w:t>
            </w: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38"/>
        </w:trPr>
        <w:tc>
          <w:tcPr>
            <w:tcW w:w="4280" w:type="dxa"/>
            <w:vAlign w:val="bottom"/>
            <w:gridSpan w:val="2"/>
          </w:tcPr>
          <w:p>
            <w:pPr>
              <w:jc w:val="center"/>
              <w:ind w:left="1035"/>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tcPr>
          <w:p>
            <w:pPr>
              <w:jc w:val="right"/>
              <w:ind w:right="2375"/>
              <w:spacing w:after="0"/>
              <w:rPr>
                <w:sz w:val="20"/>
                <w:szCs w:val="20"/>
                <w:color w:val="auto"/>
              </w:rPr>
            </w:pPr>
            <w:r>
              <w:rPr>
                <w:rFonts w:ascii="Times New Roman" w:cs="Times New Roman" w:eastAsia="Times New Roman" w:hAnsi="Times New Roman"/>
                <w:sz w:val="18"/>
                <w:szCs w:val="18"/>
                <w:b w:val="1"/>
                <w:bCs w:val="1"/>
                <w:color w:val="auto"/>
              </w:rPr>
              <w:t>77019</w:t>
            </w:r>
          </w:p>
        </w:tc>
      </w:tr>
      <w:tr>
        <w:trPr>
          <w:trHeight w:val="250"/>
        </w:trPr>
        <w:tc>
          <w:tcPr>
            <w:tcW w:w="4280" w:type="dxa"/>
            <w:vAlign w:val="bottom"/>
            <w:gridSpan w:val="2"/>
          </w:tcPr>
          <w:p>
            <w:pPr>
              <w:jc w:val="center"/>
              <w:ind w:left="10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60" w:type="dxa"/>
            <w:vAlign w:val="bottom"/>
          </w:tcPr>
          <w:p>
            <w:pPr>
              <w:jc w:val="center"/>
              <w:ind w:right="113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211-6011</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354965</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4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4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4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4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3"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428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2"/>
        </w:trPr>
        <w:tc>
          <w:tcPr>
            <w:tcW w:w="428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6"/>
              </w:rPr>
              <w:t>TLN</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1114" w:right="559" w:bottom="1094"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August 26, 2024, Talen Energy Corporation (“Talen”) issued a press release announcing its receipt of the escrowed proceeds from its previously announced Cumulus data center campus sale. A copy of the press release is furnished as Exhibit 99.1 to this Current Report on Form 8-K (this “Report”) and is incorporated herein by reference.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under this Item 7.01 and in Exhibit 99.1 to this Report is being furnished and shall not be deemed “filed” for the purpose of Section 18 of the Securities Exchange Act of 1934, as amended, or otherwise subject to the liabilities of that Section. The information under this Item 7.01 and in Exhibit 99.1 to this Report shall not be incorporated by reference into any registration statement or other document pursuant to the Securities Act of 1933, as amended.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99"/>
              </w:rPr>
              <w:t>(d) Exhibits:</w:t>
            </w:r>
          </w:p>
        </w:tc>
        <w:tc>
          <w:tcPr>
            <w:tcW w:w="270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19"/>
        </w:trPr>
        <w:tc>
          <w:tcPr>
            <w:tcW w:w="206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August 26, 2024.</w:t>
            </w:r>
          </w:p>
        </w:tc>
        <w:tc>
          <w:tcPr>
            <w:tcW w:w="4800" w:type="dxa"/>
            <w:vAlign w:val="bottom"/>
          </w:tcPr>
          <w:p>
            <w:pPr>
              <w:spacing w:after="0"/>
              <w:rPr>
                <w:sz w:val="18"/>
                <w:szCs w:val="18"/>
                <w:color w:val="auto"/>
              </w:rPr>
            </w:pPr>
          </w:p>
        </w:tc>
      </w:tr>
      <w:tr>
        <w:trPr>
          <w:trHeight w:val="277"/>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(cover page XBRL tags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TALEN ENERGY CORPORATION</w:t>
            </w: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26, 2024</w:t>
            </w:r>
          </w:p>
        </w:tc>
        <w:tc>
          <w:tcPr>
            <w:tcW w:w="28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Terry L. Nutt</w:t>
            </w:r>
          </w:p>
        </w:tc>
      </w:tr>
      <w:tr>
        <w:trPr>
          <w:trHeight w:val="218"/>
        </w:trPr>
        <w:tc>
          <w:tcPr>
            <w:tcW w:w="3960" w:type="dxa"/>
            <w:vAlign w:val="bottom"/>
          </w:tcPr>
          <w:p>
            <w:pPr>
              <w:spacing w:after="0"/>
              <w:rPr>
                <w:sz w:val="18"/>
                <w:szCs w:val="18"/>
                <w:color w:val="auto"/>
              </w:rPr>
            </w:pPr>
          </w:p>
        </w:tc>
        <w:tc>
          <w:tcPr>
            <w:tcW w:w="28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Terry L. Nutt</w:t>
            </w:r>
          </w:p>
        </w:tc>
      </w:tr>
      <w:tr>
        <w:trPr>
          <w:trHeight w:val="234"/>
        </w:trPr>
        <w:tc>
          <w:tcPr>
            <w:tcW w:w="3960" w:type="dxa"/>
            <w:vAlign w:val="bottom"/>
          </w:tcPr>
          <w:p>
            <w:pPr>
              <w:spacing w:after="0"/>
              <w:rPr>
                <w:sz w:val="20"/>
                <w:szCs w:val="20"/>
                <w:color w:val="auto"/>
              </w:rPr>
            </w:pPr>
          </w:p>
        </w:tc>
        <w:tc>
          <w:tcPr>
            <w:tcW w:w="28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110"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b w:val="1"/>
          <w:bCs w:val="1"/>
          <w:color w:val="1E1E1E"/>
        </w:rPr>
        <w:t>Talen Energy Announces Receipt of Escrowed Funds for Cumulus Data Center Campus Transacton</w:t>
      </w:r>
    </w:p>
    <w:p>
      <w:pPr>
        <w:spacing w:after="0" w:line="211"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b w:val="1"/>
          <w:bCs w:val="1"/>
          <w:color w:val="1E1E1E"/>
        </w:rPr>
        <w:t xml:space="preserve">HOUSTON, August 26, 2024 </w:t>
      </w:r>
      <w:r>
        <w:rPr>
          <w:rFonts w:ascii="Calibri" w:cs="Calibri" w:eastAsia="Calibri" w:hAnsi="Calibri"/>
          <w:sz w:val="20"/>
          <w:szCs w:val="20"/>
          <w:color w:val="1E1E1E"/>
        </w:rPr>
        <w:t>-- Talen Energy Corporaton (“Talen”) (</w:t>
      </w:r>
      <w:r>
        <w:rPr>
          <w:rFonts w:ascii="Calibri" w:cs="Calibri" w:eastAsia="Calibri" w:hAnsi="Calibri"/>
          <w:sz w:val="20"/>
          <w:szCs w:val="20"/>
          <w:u w:val="single" w:color="auto"/>
          <w:color w:val="4881FF"/>
        </w:rPr>
        <w:t>NASDAQ: TLN</w:t>
      </w:r>
      <w:r>
        <w:rPr>
          <w:rFonts w:ascii="Calibri" w:cs="Calibri" w:eastAsia="Calibri" w:hAnsi="Calibri"/>
          <w:sz w:val="20"/>
          <w:szCs w:val="20"/>
          <w:color w:val="1E1E1E"/>
          <w:highlight w:val="white"/>
        </w:rPr>
        <w:t>)</w:t>
      </w:r>
      <w:r>
        <w:rPr>
          <w:rFonts w:ascii="Calibri" w:cs="Calibri" w:eastAsia="Calibri" w:hAnsi="Calibri"/>
          <w:sz w:val="20"/>
          <w:szCs w:val="20"/>
          <w:b w:val="1"/>
          <w:bCs w:val="1"/>
          <w:color w:val="1E1E1E"/>
        </w:rPr>
        <w:t xml:space="preserve"> </w:t>
      </w:r>
      <w:r>
        <w:rPr>
          <w:rFonts w:ascii="Calibri" w:cs="Calibri" w:eastAsia="Calibri" w:hAnsi="Calibri"/>
          <w:sz w:val="20"/>
          <w:szCs w:val="20"/>
          <w:color w:val="000000"/>
        </w:rPr>
        <w:t>an independent power producer dedicated to</w:t>
      </w:r>
      <w:r>
        <w:rPr>
          <w:rFonts w:ascii="Calibri" w:cs="Calibri" w:eastAsia="Calibri" w:hAnsi="Calibri"/>
          <w:sz w:val="20"/>
          <w:szCs w:val="20"/>
          <w:b w:val="1"/>
          <w:bCs w:val="1"/>
          <w:color w:val="1E1E1E"/>
        </w:rPr>
        <w:t xml:space="preserve"> </w:t>
      </w:r>
      <w:r>
        <w:rPr>
          <w:rFonts w:ascii="Calibri" w:cs="Calibri" w:eastAsia="Calibri" w:hAnsi="Calibri"/>
          <w:sz w:val="20"/>
          <w:szCs w:val="20"/>
          <w:color w:val="000000"/>
        </w:rPr>
        <w:t>powering the future, announced today that development planning milestones contained in its previously announced agreement with Amazon Web Services (“AWS”) for the purchase of the Cumulus data center campus have been met. Cumulus Digital (a Talen subsidiary) has now received all funds previously held in escrow under the terms of the transacton.</w:t>
      </w:r>
    </w:p>
    <w:p>
      <w:pPr>
        <w:spacing w:after="0" w:line="226" w:lineRule="exact"/>
        <w:rPr>
          <w:sz w:val="20"/>
          <w:szCs w:val="20"/>
          <w:color w:val="auto"/>
        </w:rPr>
      </w:pPr>
    </w:p>
    <w:p>
      <w:pPr>
        <w:ind w:right="160"/>
        <w:spacing w:after="0" w:line="230" w:lineRule="auto"/>
        <w:rPr>
          <w:sz w:val="20"/>
          <w:szCs w:val="20"/>
          <w:color w:val="auto"/>
        </w:rPr>
      </w:pPr>
      <w:r>
        <w:rPr>
          <w:rFonts w:ascii="Calibri" w:cs="Calibri" w:eastAsia="Calibri" w:hAnsi="Calibri"/>
          <w:sz w:val="20"/>
          <w:szCs w:val="20"/>
          <w:color w:val="auto"/>
        </w:rPr>
        <w:t>“We are pleased to announce that the $300 million escrowed porton of the Cumulus data center campus purchase price was released from escrow and paid to Talen on Friday, August 23, afer completon of milestones that allow for development of the AWS campus to 960 MW of power consumpton,” said Cole Muller, General Manager of Cumulus Digital. “We contnue to make progress on our collaboraton with AWS and look forward to executng on power sales under the PPA.”</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1E1E1E"/>
        </w:rPr>
        <w:t>About Talen</w:t>
      </w:r>
    </w:p>
    <w:p>
      <w:pPr>
        <w:spacing w:after="0" w:line="22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1E1E1E"/>
        </w:rPr>
        <w:t>Talen Energy (</w:t>
      </w:r>
      <w:r>
        <w:rPr>
          <w:rFonts w:ascii="Calibri" w:cs="Calibri" w:eastAsia="Calibri" w:hAnsi="Calibri"/>
          <w:sz w:val="20"/>
          <w:szCs w:val="20"/>
          <w:u w:val="single" w:color="auto"/>
          <w:color w:val="4881FF"/>
        </w:rPr>
        <w:t>NASDAQ: TLN</w:t>
      </w:r>
      <w:r>
        <w:rPr>
          <w:rFonts w:ascii="Calibri" w:cs="Calibri" w:eastAsia="Calibri" w:hAnsi="Calibri"/>
          <w:sz w:val="20"/>
          <w:szCs w:val="20"/>
          <w:color w:val="1E1E1E"/>
        </w:rPr>
        <w:t>) is a leading independent power producer and energy infrastructure company dedicated to powering the future. We own and operate approximately 10.7 gigawats of power infrastructure in the United States, including 2.2 gigawats of nuclear power and a signifcant dispatchable fossil feet. We produce and sell electricity, capacity, and ancillary services into wholesale U.S. power markets, with our generaton feet principally located in the Mid-Atlantc and Montana. Our team is commited to generatng power safely and reliably, delivering the most value per megawat produced and driving the energy transiton. Talen is also powering the digital infrastructure revoluton. We are well-positoned to capture this signifcant growth opportunity, as data centers serving artfcial intelligence increasingly demand more reliable, clean power. Talen is headquartered in Houston, Texas. For more informaton,</w:t>
      </w:r>
    </w:p>
    <w:p>
      <w:pPr>
        <w:spacing w:after="0" w:line="6" w:lineRule="exact"/>
        <w:rPr>
          <w:sz w:val="20"/>
          <w:szCs w:val="20"/>
          <w:color w:val="auto"/>
        </w:rPr>
      </w:pPr>
    </w:p>
    <w:p>
      <w:pPr>
        <w:spacing w:after="0"/>
        <w:rPr>
          <w:sz w:val="20"/>
          <w:szCs w:val="20"/>
          <w:color w:val="auto"/>
        </w:rPr>
      </w:pPr>
      <w:r>
        <w:rPr>
          <w:rFonts w:ascii="Calibri" w:cs="Calibri" w:eastAsia="Calibri" w:hAnsi="Calibri"/>
          <w:sz w:val="20"/>
          <w:szCs w:val="20"/>
          <w:color w:val="1E1E1E"/>
        </w:rPr>
        <w:t xml:space="preserve">visit </w:t>
      </w:r>
      <w:r>
        <w:rPr>
          <w:rFonts w:ascii="Calibri" w:cs="Calibri" w:eastAsia="Calibri" w:hAnsi="Calibri"/>
          <w:sz w:val="20"/>
          <w:szCs w:val="20"/>
          <w:u w:val="single" w:color="auto"/>
          <w:color w:val="4881FF"/>
        </w:rPr>
        <w:t>htps://www.talenenergy.com/</w:t>
      </w:r>
      <w:r>
        <w:rPr>
          <w:rFonts w:ascii="Calibri" w:cs="Calibri" w:eastAsia="Calibri" w:hAnsi="Calibri"/>
          <w:sz w:val="20"/>
          <w:szCs w:val="20"/>
          <w:color w:val="1E1E1E"/>
        </w:rPr>
        <w: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1E1E1E"/>
        </w:rPr>
        <w:t>Investor Relatons:</w:t>
      </w:r>
    </w:p>
    <w:p>
      <w:pPr>
        <w:spacing w:after="0" w:line="238" w:lineRule="auto"/>
        <w:rPr>
          <w:sz w:val="20"/>
          <w:szCs w:val="20"/>
          <w:color w:val="auto"/>
        </w:rPr>
      </w:pPr>
      <w:r>
        <w:rPr>
          <w:rFonts w:ascii="Calibri" w:cs="Calibri" w:eastAsia="Calibri" w:hAnsi="Calibri"/>
          <w:sz w:val="20"/>
          <w:szCs w:val="20"/>
          <w:color w:val="1E1E1E"/>
        </w:rPr>
        <w:t>Ellen Liu</w:t>
      </w:r>
    </w:p>
    <w:p>
      <w:pPr>
        <w:spacing w:after="0"/>
        <w:rPr>
          <w:sz w:val="20"/>
          <w:szCs w:val="20"/>
          <w:color w:val="auto"/>
        </w:rPr>
      </w:pPr>
      <w:r>
        <w:rPr>
          <w:rFonts w:ascii="Calibri" w:cs="Calibri" w:eastAsia="Calibri" w:hAnsi="Calibri"/>
          <w:sz w:val="20"/>
          <w:szCs w:val="20"/>
          <w:color w:val="1E1E1E"/>
        </w:rPr>
        <w:t>Senior Director, Investor Relatons</w:t>
      </w:r>
    </w:p>
    <w:p>
      <w:pPr>
        <w:spacing w:after="0" w:line="225" w:lineRule="auto"/>
        <w:rPr>
          <w:sz w:val="20"/>
          <w:szCs w:val="20"/>
          <w:color w:val="auto"/>
        </w:rPr>
      </w:pPr>
      <w:r>
        <w:rPr>
          <w:rFonts w:ascii="Calibri" w:cs="Calibri" w:eastAsia="Calibri" w:hAnsi="Calibri"/>
          <w:sz w:val="20"/>
          <w:szCs w:val="20"/>
          <w:u w:val="single" w:color="auto"/>
          <w:color w:val="4881FF"/>
        </w:rPr>
        <w:t>InvestorRelatons@talenenergy.com</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1E1E1E"/>
        </w:rPr>
        <w:t>Media:</w:t>
      </w:r>
    </w:p>
    <w:p>
      <w:pPr>
        <w:spacing w:after="0" w:line="225" w:lineRule="auto"/>
        <w:rPr>
          <w:sz w:val="20"/>
          <w:szCs w:val="20"/>
          <w:color w:val="auto"/>
        </w:rPr>
      </w:pPr>
      <w:r>
        <w:rPr>
          <w:rFonts w:ascii="Calibri" w:cs="Calibri" w:eastAsia="Calibri" w:hAnsi="Calibri"/>
          <w:sz w:val="20"/>
          <w:szCs w:val="20"/>
          <w:color w:val="1E1E1E"/>
        </w:rPr>
        <w:t>Taryne Williams</w:t>
      </w:r>
    </w:p>
    <w:p>
      <w:pPr>
        <w:spacing w:after="0"/>
        <w:rPr>
          <w:sz w:val="20"/>
          <w:szCs w:val="20"/>
          <w:color w:val="auto"/>
        </w:rPr>
      </w:pPr>
      <w:r>
        <w:rPr>
          <w:rFonts w:ascii="Calibri" w:cs="Calibri" w:eastAsia="Calibri" w:hAnsi="Calibri"/>
          <w:sz w:val="20"/>
          <w:szCs w:val="20"/>
          <w:color w:val="1E1E1E"/>
        </w:rPr>
        <w:t>Director, Corporate Communicatons</w:t>
      </w:r>
    </w:p>
    <w:p>
      <w:pPr>
        <w:spacing w:after="0" w:line="238" w:lineRule="auto"/>
        <w:rPr>
          <w:sz w:val="20"/>
          <w:szCs w:val="20"/>
          <w:color w:val="auto"/>
        </w:rPr>
      </w:pPr>
      <w:r>
        <w:rPr>
          <w:rFonts w:ascii="Calibri" w:cs="Calibri" w:eastAsia="Calibri" w:hAnsi="Calibri"/>
          <w:sz w:val="20"/>
          <w:szCs w:val="20"/>
          <w:u w:val="single" w:color="auto"/>
          <w:color w:val="4881FF"/>
        </w:rPr>
        <w:t>Taryne.Williams@talenenergy.com</w:t>
      </w:r>
    </w:p>
    <w:p>
      <w:pPr>
        <w:sectPr>
          <w:pgSz w:w="11900" w:h="16838" w:orient="portrait"/>
          <w:cols w:equalWidth="0" w:num="1">
            <w:col w:w="11180"/>
          </w:cols>
          <w:pgMar w:left="320" w:top="1440" w:right="399" w:bottom="1440" w:gutter="0" w:footer="0" w:header="0"/>
        </w:sectPr>
      </w:pPr>
    </w:p>
    <w:bookmarkStart w:id="4" w:name="page5"/>
    <w:bookmarkEnd w:id="4"/>
    <w:p>
      <w:pPr>
        <w:spacing w:after="0" w:line="1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1E1E1E"/>
        </w:rPr>
        <w:t>Forward-Looking Statements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color w:val="1E1E1E"/>
        </w:rPr>
        <w:t>This communicaton contains forward-looking statements within the meaning of the federal securites laws, which statements are subject to substantal risks and uncertaintes. These forward-looking statements are intended to qualify for the safe harbor from liability established by the Private Securites Litgaton Reform Act of 1995. All statements other than statements of historical fact included in this communicaton, or incorporated by reference into this communicaton, are forward-looking statements. Throughout this communicaton, we have atempted to identfy forward-looking statements by using words such as “antcipate,” “believe,” “contnue,” “could,” “estmate,” “expect,” “forecasts,” “goal,” “intend,” “may,” “plan,” “potental,” “predict,” “project,” “seek,” “should,” “will,” or other forms of these words or similar words or expressions or the negatve thereof, although not all forward-looking statements contain these terms. Forward-looking statements address future events and conditons concerning, among other things capital expenditures, earnings, litgaton, regulatory maters, hedging, liquidity and capital resources and accountng maters. Forward-looking statements are subject to substantal risks and uncertaintes that could cause our future business, fnancial conditon, results of operatons or performance to difer materially from our historical results or those expressed or implied in any forward-looking statement contained in this communicaton. All of our forward-looking statements include assumptons underlying or relatng to such statements that may cause actual results to difer materially from expectatons, and are subject to numerous factors that present considerable risks and uncertaintes.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2024-08-26T06:10:22Z</dcterms:created>
  <dcterms:modified xsi:type="dcterms:W3CDTF">2024-08-26T06:10:22Z</dcterms:modified>
</cp:coreProperties>
</file>