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6"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PROSPECTUS SUPPLEMENT NO. 5</w:t>
      </w:r>
    </w:p>
    <w:p>
      <w:pPr>
        <w:spacing w:after="0" w:line="39"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(To prospectus dated July 9, 2024)</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Filed pursuant to Rule 424(b)(3)</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333-280341</w:t>
      </w:r>
    </w:p>
    <w:p>
      <w:pPr>
        <w:spacing w:after="0" w:line="200" w:lineRule="exact"/>
        <w:rPr>
          <w:sz w:val="24"/>
          <w:szCs w:val="24"/>
          <w:color w:val="auto"/>
        </w:rPr>
      </w:pPr>
    </w:p>
    <w:p>
      <w:pPr>
        <w:sectPr>
          <w:pgSz w:w="11900" w:h="16838" w:orient="portrait"/>
          <w:cols w:equalWidth="0" w:num="2">
            <w:col w:w="8080" w:space="720"/>
            <w:col w:w="2420"/>
          </w:cols>
          <w:pgMar w:left="320" w:top="1440"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TALEN ENERGY CORPORATION</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36,825,683 SHARES OF COMMON STOCK</w:t>
      </w:r>
    </w:p>
    <w:p>
      <w:pPr>
        <w:spacing w:after="0" w:line="200" w:lineRule="exact"/>
        <w:rPr>
          <w:sz w:val="24"/>
          <w:szCs w:val="24"/>
          <w:color w:val="auto"/>
        </w:rPr>
      </w:pPr>
    </w:p>
    <w:p>
      <w:pPr>
        <w:spacing w:after="0" w:line="251" w:lineRule="exact"/>
        <w:rPr>
          <w:sz w:val="24"/>
          <w:szCs w:val="24"/>
          <w:color w:val="auto"/>
        </w:rPr>
      </w:pPr>
    </w:p>
    <w:p>
      <w:pPr>
        <w:ind w:right="120"/>
        <w:spacing w:after="0" w:line="265" w:lineRule="auto"/>
        <w:rPr>
          <w:sz w:val="20"/>
          <w:szCs w:val="20"/>
          <w:color w:val="auto"/>
        </w:rPr>
      </w:pPr>
      <w:r>
        <w:rPr>
          <w:rFonts w:ascii="Arial" w:cs="Arial" w:eastAsia="Arial" w:hAnsi="Arial"/>
          <w:sz w:val="16"/>
          <w:szCs w:val="16"/>
          <w:color w:val="auto"/>
        </w:rPr>
        <w:t>This prospectus supplement is being filed to update and supplement the information contained in the prospectus dated July 9, 2024, as supplemented by Prospectus Supplement No. 1, dated August 13, 2024, Prospectus Supplement No. 2, dated November 14, 2024, Prospectus Supplement No. 3, dated December 13, 2024, and Prospectus Supplement No. 4, dated December 20, 2024 (as so supplemented, the “Prospectus”), with the information contained in our Current Report on Form 8-K, filed with the Securities and Exchange Commission (the “SEC”) on January 6, 2025 (the “Current Report”). Accordingly, we have attached the Current Report to this prospectus supplement.</w:t>
      </w:r>
    </w:p>
    <w:p>
      <w:pPr>
        <w:spacing w:after="0" w:line="118" w:lineRule="exact"/>
        <w:rPr>
          <w:sz w:val="24"/>
          <w:szCs w:val="24"/>
          <w:color w:val="auto"/>
        </w:rPr>
      </w:pPr>
    </w:p>
    <w:p>
      <w:pPr>
        <w:ind w:right="20"/>
        <w:spacing w:after="0" w:line="304" w:lineRule="auto"/>
        <w:rPr>
          <w:sz w:val="20"/>
          <w:szCs w:val="20"/>
          <w:color w:val="auto"/>
        </w:rPr>
      </w:pPr>
      <w:r>
        <w:rPr>
          <w:rFonts w:ascii="Arial" w:cs="Arial" w:eastAsia="Arial" w:hAnsi="Arial"/>
          <w:sz w:val="16"/>
          <w:szCs w:val="16"/>
          <w:color w:val="auto"/>
        </w:rPr>
        <w:t>The Prospectus and this prospectus supplement relate to the resale from time to time of up to 36,825,683 shares of our common stock, par value $0.001 per share (the “Common Stock”), by the selling stockholders named in the Prospectus or their permitted transferees.</w:t>
      </w:r>
    </w:p>
    <w:p>
      <w:pPr>
        <w:spacing w:after="0" w:line="87" w:lineRule="exact"/>
        <w:rPr>
          <w:sz w:val="24"/>
          <w:szCs w:val="24"/>
          <w:color w:val="auto"/>
        </w:rPr>
      </w:pPr>
    </w:p>
    <w:p>
      <w:pPr>
        <w:ind w:right="20"/>
        <w:spacing w:after="0" w:line="261" w:lineRule="auto"/>
        <w:rPr>
          <w:sz w:val="20"/>
          <w:szCs w:val="20"/>
          <w:color w:val="auto"/>
        </w:rPr>
      </w:pPr>
      <w:r>
        <w:rPr>
          <w:rFonts w:ascii="Arial" w:cs="Arial" w:eastAsia="Arial" w:hAnsi="Arial"/>
          <w:sz w:val="16"/>
          <w:szCs w:val="16"/>
          <w:color w:val="auto"/>
        </w:rPr>
        <w:t>This prospectus supplement updates and supplements the information in the Prospectus and is not complete without, and may not be delivered or utilized except in combination with, the Prospectus, including any other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The information in this prospectus supplement modifies and supersedes, in part, the information in the Prospectus. Any information in the Prospectus that is modified or superseded shall not be deemed to constitute a part of the Prospectus except as modified or superseded by this prospectus supplement.</w:t>
      </w:r>
    </w:p>
    <w:p>
      <w:pPr>
        <w:spacing w:after="0" w:line="122" w:lineRule="exact"/>
        <w:rPr>
          <w:sz w:val="24"/>
          <w:szCs w:val="24"/>
          <w:color w:val="auto"/>
        </w:rPr>
      </w:pPr>
    </w:p>
    <w:p>
      <w:pPr>
        <w:ind w:right="120"/>
        <w:spacing w:after="0" w:line="265" w:lineRule="auto"/>
        <w:rPr>
          <w:sz w:val="20"/>
          <w:szCs w:val="20"/>
          <w:color w:val="auto"/>
        </w:rPr>
      </w:pPr>
      <w:r>
        <w:rPr>
          <w:rFonts w:ascii="Arial" w:cs="Arial" w:eastAsia="Arial" w:hAnsi="Arial"/>
          <w:sz w:val="16"/>
          <w:szCs w:val="16"/>
          <w:color w:val="auto"/>
        </w:rPr>
        <w:t>You should not assume that the information provided in this prospectus supplement or the Prospectus is accurate as of any date other than their respective dates. Neither the delivery of this prospectus supplement and Prospectus, nor any sale made hereunder, shall under any circumstances create any implication that there has been no change in our affairs since the date of this prospectus supplement or that the information contained in this prospectus supplement or the Prospectus is correct as of any time after the date of that information.</w:t>
      </w:r>
    </w:p>
    <w:p>
      <w:pPr>
        <w:spacing w:after="0" w:line="132" w:lineRule="exact"/>
        <w:rPr>
          <w:sz w:val="24"/>
          <w:szCs w:val="24"/>
          <w:color w:val="auto"/>
        </w:rPr>
      </w:pPr>
    </w:p>
    <w:p>
      <w:pPr>
        <w:ind w:right="620"/>
        <w:spacing w:after="0" w:line="286" w:lineRule="auto"/>
        <w:rPr>
          <w:sz w:val="20"/>
          <w:szCs w:val="20"/>
          <w:color w:val="auto"/>
        </w:rPr>
      </w:pPr>
      <w:r>
        <w:rPr>
          <w:rFonts w:ascii="Arial" w:cs="Arial" w:eastAsia="Arial" w:hAnsi="Arial"/>
          <w:sz w:val="16"/>
          <w:szCs w:val="16"/>
          <w:color w:val="auto"/>
        </w:rPr>
        <w:t>The Common Stock is listed on The Nasdaq Global Select Market (“Nasdaq”) under the symbol “TLN”. On January 6, 2025, the last sale price of the Common Stock as reported on Nasdaq was $218.20 per share.</w:t>
      </w:r>
    </w:p>
    <w:p>
      <w:pPr>
        <w:spacing w:after="0" w:line="115" w:lineRule="exact"/>
        <w:rPr>
          <w:sz w:val="24"/>
          <w:szCs w:val="24"/>
          <w:color w:val="auto"/>
        </w:rPr>
      </w:pPr>
    </w:p>
    <w:p>
      <w:pPr>
        <w:ind w:right="840"/>
        <w:spacing w:after="0" w:line="286" w:lineRule="auto"/>
        <w:rPr>
          <w:sz w:val="20"/>
          <w:szCs w:val="20"/>
          <w:color w:val="auto"/>
        </w:rPr>
      </w:pPr>
      <w:r>
        <w:rPr>
          <w:rFonts w:ascii="Arial" w:cs="Arial" w:eastAsia="Arial" w:hAnsi="Arial"/>
          <w:sz w:val="16"/>
          <w:szCs w:val="16"/>
          <w:color w:val="auto"/>
        </w:rPr>
        <w:t>Investing in our securities involves certain risks, including those that are described in the section titled “Risk Factors” beginning on page 19 of the Prospectus.</w:t>
      </w:r>
    </w:p>
    <w:p>
      <w:pPr>
        <w:spacing w:after="0" w:line="102" w:lineRule="exact"/>
        <w:rPr>
          <w:sz w:val="24"/>
          <w:szCs w:val="24"/>
          <w:color w:val="auto"/>
        </w:rPr>
      </w:pPr>
    </w:p>
    <w:p>
      <w:pPr>
        <w:ind w:right="160"/>
        <w:spacing w:after="0" w:line="304" w:lineRule="auto"/>
        <w:rPr>
          <w:sz w:val="20"/>
          <w:szCs w:val="20"/>
          <w:color w:val="auto"/>
        </w:rPr>
      </w:pPr>
      <w:r>
        <w:rPr>
          <w:rFonts w:ascii="Arial" w:cs="Arial" w:eastAsia="Arial" w:hAnsi="Arial"/>
          <w:sz w:val="16"/>
          <w:szCs w:val="16"/>
          <w:color w:val="auto"/>
        </w:rPr>
        <w:t>Neither the SEC nor any state securities commission has approved or disapproved of the securities to be issued under the Prospectus or determined if the Prospectus or this prospectus supplement is truthful or complete. Any representation to the contrary is a criminal offense.</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The date of this prospectus supplement is January 7, 2024</w:t>
      </w:r>
      <w:r>
        <w:rPr>
          <w:rFonts w:ascii="Arial" w:cs="Arial" w:eastAsia="Arial" w:hAnsi="Arial"/>
          <w:sz w:val="17"/>
          <w:szCs w:val="17"/>
          <w:b w:val="1"/>
          <w:bCs w:val="1"/>
          <w:color w:val="auto"/>
        </w:rPr>
        <w:t>.</w:t>
      </w:r>
    </w:p>
    <w:p>
      <w:pPr>
        <w:sectPr>
          <w:pgSz w:w="11900" w:h="16838" w:orient="portrait"/>
          <w:cols w:equalWidth="0" w:num="1">
            <w:col w:w="11220"/>
          </w:cols>
          <w:pgMar w:left="320" w:top="1440" w:right="359" w:bottom="1440" w:gutter="0" w:footer="0" w:header="0"/>
          <w:type w:val="continuous"/>
        </w:sectPr>
      </w:pPr>
    </w:p>
    <w:bookmarkStart w:id="1" w:name="page2"/>
    <w:bookmarkEnd w:id="1"/>
    <w:p>
      <w:pPr>
        <w:jc w:val="center"/>
        <w:ind w:right="60"/>
        <w:spacing w:after="0"/>
        <w:rPr>
          <w:sz w:val="20"/>
          <w:szCs w:val="20"/>
          <w:color w:val="auto"/>
        </w:rPr>
      </w:pPr>
      <w:r>
        <w:rPr>
          <w:rFonts w:ascii="Arial" w:cs="Arial" w:eastAsia="Arial" w:hAnsi="Arial"/>
          <w:sz w:val="29"/>
          <w:szCs w:val="29"/>
          <w:b w:val="1"/>
          <w:bCs w:val="1"/>
          <w:color w:val="auto"/>
        </w:rPr>
        <w:t>UNITED STATES</w:t>
      </w:r>
    </w:p>
    <w:p>
      <w:pPr>
        <w:spacing w:after="0" w:line="166" w:lineRule="exact"/>
        <w:rPr>
          <w:sz w:val="20"/>
          <w:szCs w:val="20"/>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spacing w:after="0" w:line="5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2196465</wp:posOffset>
            </wp:positionH>
            <wp:positionV relativeFrom="paragraph">
              <wp:posOffset>297815</wp:posOffset>
            </wp:positionV>
            <wp:extent cx="25285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0"/>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212725</wp:posOffset>
            </wp:positionV>
            <wp:extent cx="2537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CURRENT REPORT</w:t>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January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303530</wp:posOffset>
            </wp:positionV>
            <wp:extent cx="2537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Arial" w:cs="Arial" w:eastAsia="Arial" w:hAnsi="Arial"/>
          <w:sz w:val="29"/>
          <w:szCs w:val="29"/>
          <w:b w:val="1"/>
          <w:bCs w:val="1"/>
          <w:color w:val="auto"/>
        </w:rPr>
        <w:t>Talen Energy Corporation</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233680</wp:posOffset>
            </wp:positionV>
            <wp:extent cx="2537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80" w:type="dxa"/>
        <w:tblCellMar>
          <w:top w:w="0" w:type="dxa"/>
          <w:left w:w="0" w:type="dxa"/>
          <w:bottom w:w="0" w:type="dxa"/>
          <w:right w:w="0" w:type="dxa"/>
        </w:tblCellMar>
      </w:tblPr>
      <w:tr>
        <w:trPr>
          <w:trHeight w:val="226"/>
        </w:trPr>
        <w:tc>
          <w:tcPr>
            <w:tcW w:w="3300" w:type="dxa"/>
            <w:vAlign w:val="bottom"/>
            <w:tcBorders>
              <w:bottom w:val="single" w:sz="8" w:color="auto"/>
            </w:tcBorders>
          </w:tcPr>
          <w:p>
            <w:pPr>
              <w:jc w:val="center"/>
              <w:ind w:left="779"/>
              <w:spacing w:after="0"/>
              <w:rPr>
                <w:sz w:val="20"/>
                <w:szCs w:val="20"/>
                <w:color w:val="auto"/>
              </w:rPr>
            </w:pPr>
            <w:r>
              <w:rPr>
                <w:rFonts w:ascii="Arial" w:cs="Arial" w:eastAsia="Arial" w:hAnsi="Arial"/>
                <w:sz w:val="16"/>
                <w:szCs w:val="16"/>
                <w:b w:val="1"/>
                <w:bCs w:val="1"/>
                <w:color w:val="auto"/>
              </w:rPr>
              <w:t>Delaware</w:t>
            </w:r>
          </w:p>
        </w:tc>
        <w:tc>
          <w:tcPr>
            <w:tcW w:w="8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001-37388</w:t>
            </w:r>
          </w:p>
        </w:tc>
        <w:tc>
          <w:tcPr>
            <w:tcW w:w="1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jc w:val="center"/>
              <w:ind w:right="1019"/>
              <w:spacing w:after="0"/>
              <w:rPr>
                <w:sz w:val="20"/>
                <w:szCs w:val="20"/>
                <w:color w:val="auto"/>
              </w:rPr>
            </w:pPr>
            <w:r>
              <w:rPr>
                <w:rFonts w:ascii="Arial" w:cs="Arial" w:eastAsia="Arial" w:hAnsi="Arial"/>
                <w:sz w:val="16"/>
                <w:szCs w:val="16"/>
                <w:b w:val="1"/>
                <w:bCs w:val="1"/>
                <w:color w:val="auto"/>
              </w:rPr>
              <w:t>47-1197305</w:t>
            </w:r>
          </w:p>
        </w:tc>
      </w:tr>
      <w:tr>
        <w:trPr>
          <w:trHeight w:val="213"/>
        </w:trPr>
        <w:tc>
          <w:tcPr>
            <w:tcW w:w="3300" w:type="dxa"/>
            <w:vAlign w:val="bottom"/>
          </w:tcPr>
          <w:p>
            <w:pPr>
              <w:jc w:val="center"/>
              <w:ind w:left="759"/>
              <w:spacing w:after="0"/>
              <w:rPr>
                <w:sz w:val="20"/>
                <w:szCs w:val="20"/>
                <w:color w:val="auto"/>
              </w:rPr>
            </w:pPr>
            <w:r>
              <w:rPr>
                <w:rFonts w:ascii="Arial" w:cs="Arial" w:eastAsia="Arial" w:hAnsi="Arial"/>
                <w:sz w:val="16"/>
                <w:szCs w:val="16"/>
                <w:color w:val="auto"/>
              </w:rPr>
              <w:t>(State or other jurisdiction of</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gridSpan w:val="3"/>
          </w:tcPr>
          <w:p>
            <w:pPr>
              <w:jc w:val="center"/>
              <w:ind w:right="1220"/>
              <w:spacing w:after="0"/>
              <w:rPr>
                <w:sz w:val="20"/>
                <w:szCs w:val="20"/>
                <w:color w:val="auto"/>
              </w:rPr>
            </w:pPr>
            <w:r>
              <w:rPr>
                <w:rFonts w:ascii="Arial" w:cs="Arial" w:eastAsia="Arial" w:hAnsi="Arial"/>
                <w:sz w:val="16"/>
                <w:szCs w:val="16"/>
                <w:color w:val="auto"/>
              </w:rPr>
              <w:t>(Commission File Number)</w:t>
            </w:r>
          </w:p>
        </w:tc>
        <w:tc>
          <w:tcPr>
            <w:tcW w:w="3080" w:type="dxa"/>
            <w:vAlign w:val="bottom"/>
          </w:tcPr>
          <w:p>
            <w:pPr>
              <w:jc w:val="center"/>
              <w:ind w:right="999"/>
              <w:spacing w:after="0"/>
              <w:rPr>
                <w:sz w:val="20"/>
                <w:szCs w:val="20"/>
                <w:color w:val="auto"/>
              </w:rPr>
            </w:pPr>
            <w:r>
              <w:rPr>
                <w:rFonts w:ascii="Arial" w:cs="Arial" w:eastAsia="Arial" w:hAnsi="Arial"/>
                <w:sz w:val="16"/>
                <w:szCs w:val="16"/>
                <w:color w:val="auto"/>
                <w:w w:val="99"/>
              </w:rPr>
              <w:t>(IRS Employer</w:t>
            </w:r>
          </w:p>
        </w:tc>
      </w:tr>
      <w:tr>
        <w:trPr>
          <w:trHeight w:val="215"/>
        </w:trPr>
        <w:tc>
          <w:tcPr>
            <w:tcW w:w="3300" w:type="dxa"/>
            <w:vAlign w:val="bottom"/>
          </w:tcPr>
          <w:p>
            <w:pPr>
              <w:jc w:val="center"/>
              <w:ind w:left="779"/>
              <w:spacing w:after="0"/>
              <w:rPr>
                <w:sz w:val="20"/>
                <w:szCs w:val="20"/>
                <w:color w:val="auto"/>
              </w:rPr>
            </w:pPr>
            <w:r>
              <w:rPr>
                <w:rFonts w:ascii="Arial" w:cs="Arial" w:eastAsia="Arial" w:hAnsi="Arial"/>
                <w:sz w:val="16"/>
                <w:szCs w:val="16"/>
                <w:color w:val="auto"/>
              </w:rPr>
              <w:t>incorporation or organization)</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tcPr>
          <w:p>
            <w:pPr>
              <w:jc w:val="center"/>
              <w:ind w:right="1019"/>
              <w:spacing w:after="0"/>
              <w:rPr>
                <w:sz w:val="20"/>
                <w:szCs w:val="20"/>
                <w:color w:val="auto"/>
              </w:rPr>
            </w:pPr>
            <w:r>
              <w:rPr>
                <w:rFonts w:ascii="Arial" w:cs="Arial" w:eastAsia="Arial" w:hAnsi="Arial"/>
                <w:sz w:val="16"/>
                <w:szCs w:val="16"/>
                <w:color w:val="auto"/>
              </w:rPr>
              <w:t>Identification No.)</w:t>
            </w:r>
          </w:p>
        </w:tc>
      </w:tr>
      <w:tr>
        <w:trPr>
          <w:trHeight w:val="609"/>
        </w:trPr>
        <w:tc>
          <w:tcPr>
            <w:tcW w:w="3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3"/>
          </w:tcPr>
          <w:p>
            <w:pPr>
              <w:jc w:val="center"/>
              <w:ind w:right="1180"/>
              <w:spacing w:after="0"/>
              <w:rPr>
                <w:sz w:val="20"/>
                <w:szCs w:val="20"/>
                <w:color w:val="auto"/>
              </w:rPr>
            </w:pPr>
            <w:r>
              <w:rPr>
                <w:rFonts w:ascii="Arial" w:cs="Arial" w:eastAsia="Arial" w:hAnsi="Arial"/>
                <w:sz w:val="16"/>
                <w:szCs w:val="16"/>
                <w:b w:val="1"/>
                <w:bCs w:val="1"/>
                <w:color w:val="auto"/>
              </w:rPr>
              <w:t>2929 Allen Pkwy, Suite 2200</w:t>
            </w:r>
          </w:p>
        </w:tc>
        <w:tc>
          <w:tcPr>
            <w:tcW w:w="3080" w:type="dxa"/>
            <w:vAlign w:val="bottom"/>
          </w:tcPr>
          <w:p>
            <w:pPr>
              <w:spacing w:after="0"/>
              <w:rPr>
                <w:sz w:val="24"/>
                <w:szCs w:val="24"/>
                <w:color w:val="auto"/>
              </w:rPr>
            </w:pPr>
          </w:p>
        </w:tc>
      </w:tr>
      <w:tr>
        <w:trPr>
          <w:trHeight w:val="203"/>
        </w:trPr>
        <w:tc>
          <w:tcPr>
            <w:tcW w:w="3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
          </w:tcPr>
          <w:p>
            <w:pPr>
              <w:jc w:val="center"/>
              <w:ind w:right="1200"/>
              <w:spacing w:after="0"/>
              <w:rPr>
                <w:sz w:val="20"/>
                <w:szCs w:val="20"/>
                <w:color w:val="auto"/>
              </w:rPr>
            </w:pPr>
            <w:r>
              <w:rPr>
                <w:rFonts w:ascii="Arial" w:cs="Arial" w:eastAsia="Arial" w:hAnsi="Arial"/>
                <w:sz w:val="16"/>
                <w:szCs w:val="16"/>
                <w:b w:val="1"/>
                <w:bCs w:val="1"/>
                <w:color w:val="auto"/>
              </w:rPr>
              <w:t>Houston, TX 77019</w:t>
            </w:r>
          </w:p>
        </w:tc>
        <w:tc>
          <w:tcPr>
            <w:tcW w:w="3080" w:type="dxa"/>
            <w:vAlign w:val="bottom"/>
          </w:tcPr>
          <w:p>
            <w:pPr>
              <w:spacing w:after="0"/>
              <w:rPr>
                <w:sz w:val="17"/>
                <w:szCs w:val="17"/>
                <w:color w:val="auto"/>
              </w:rPr>
            </w:pPr>
          </w:p>
        </w:tc>
      </w:tr>
      <w:tr>
        <w:trPr>
          <w:trHeight w:val="215"/>
        </w:trPr>
        <w:tc>
          <w:tcPr>
            <w:tcW w:w="3300" w:type="dxa"/>
            <w:vAlign w:val="bottom"/>
          </w:tcPr>
          <w:p>
            <w:pPr>
              <w:spacing w:after="0"/>
              <w:rPr>
                <w:sz w:val="18"/>
                <w:szCs w:val="18"/>
                <w:color w:val="auto"/>
              </w:rPr>
            </w:pPr>
          </w:p>
        </w:tc>
        <w:tc>
          <w:tcPr>
            <w:tcW w:w="4340" w:type="dxa"/>
            <w:vAlign w:val="bottom"/>
            <w:gridSpan w:val="5"/>
          </w:tcPr>
          <w:p>
            <w:pPr>
              <w:jc w:val="center"/>
              <w:ind w:right="200"/>
              <w:spacing w:after="0"/>
              <w:rPr>
                <w:sz w:val="20"/>
                <w:szCs w:val="20"/>
                <w:color w:val="auto"/>
              </w:rPr>
            </w:pPr>
            <w:r>
              <w:rPr>
                <w:rFonts w:ascii="Arial" w:cs="Arial" w:eastAsia="Arial" w:hAnsi="Arial"/>
                <w:sz w:val="16"/>
                <w:szCs w:val="16"/>
                <w:color w:val="auto"/>
              </w:rPr>
              <w:t>(Address of principal executive offices) (Zip Code)</w:t>
            </w:r>
          </w:p>
        </w:tc>
        <w:tc>
          <w:tcPr>
            <w:tcW w:w="3080" w:type="dxa"/>
            <w:vAlign w:val="bottom"/>
          </w:tcPr>
          <w:p>
            <w:pPr>
              <w:spacing w:after="0"/>
              <w:rPr>
                <w:sz w:val="18"/>
                <w:szCs w:val="18"/>
                <w:color w:val="auto"/>
              </w:rPr>
            </w:pPr>
          </w:p>
        </w:tc>
      </w:tr>
      <w:tr>
        <w:trPr>
          <w:trHeight w:val="325"/>
        </w:trPr>
        <w:tc>
          <w:tcPr>
            <w:tcW w:w="3300" w:type="dxa"/>
            <w:vAlign w:val="bottom"/>
          </w:tcPr>
          <w:p>
            <w:pPr>
              <w:spacing w:after="0"/>
              <w:rPr>
                <w:sz w:val="24"/>
                <w:szCs w:val="24"/>
                <w:color w:val="auto"/>
              </w:rPr>
            </w:pPr>
          </w:p>
        </w:tc>
        <w:tc>
          <w:tcPr>
            <w:tcW w:w="3120" w:type="dxa"/>
            <w:vAlign w:val="bottom"/>
            <w:gridSpan w:val="3"/>
          </w:tcPr>
          <w:p>
            <w:pPr>
              <w:jc w:val="center"/>
              <w:ind w:left="919"/>
              <w:spacing w:after="0"/>
              <w:rPr>
                <w:sz w:val="20"/>
                <w:szCs w:val="20"/>
                <w:color w:val="auto"/>
              </w:rPr>
            </w:pPr>
            <w:r>
              <w:rPr>
                <w:rFonts w:ascii="Arial" w:cs="Arial" w:eastAsia="Arial" w:hAnsi="Arial"/>
                <w:sz w:val="16"/>
                <w:szCs w:val="16"/>
                <w:b w:val="1"/>
                <w:bCs w:val="1"/>
                <w:color w:val="auto"/>
                <w:w w:val="98"/>
              </w:rPr>
              <w:t>(888) 211-6011</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5"/>
        </w:trPr>
        <w:tc>
          <w:tcPr>
            <w:tcW w:w="3300" w:type="dxa"/>
            <w:vAlign w:val="bottom"/>
          </w:tcPr>
          <w:p>
            <w:pPr>
              <w:spacing w:after="0"/>
              <w:rPr>
                <w:sz w:val="18"/>
                <w:szCs w:val="18"/>
                <w:color w:val="auto"/>
              </w:rPr>
            </w:pPr>
          </w:p>
        </w:tc>
        <w:tc>
          <w:tcPr>
            <w:tcW w:w="4340" w:type="dxa"/>
            <w:vAlign w:val="bottom"/>
            <w:gridSpan w:val="5"/>
          </w:tcPr>
          <w:p>
            <w:pPr>
              <w:jc w:val="center"/>
              <w:ind w:right="220"/>
              <w:spacing w:after="0"/>
              <w:rPr>
                <w:sz w:val="20"/>
                <w:szCs w:val="20"/>
                <w:color w:val="auto"/>
              </w:rPr>
            </w:pPr>
            <w:r>
              <w:rPr>
                <w:rFonts w:ascii="Arial" w:cs="Arial" w:eastAsia="Arial" w:hAnsi="Arial"/>
                <w:sz w:val="16"/>
                <w:szCs w:val="16"/>
                <w:color w:val="auto"/>
              </w:rPr>
              <w:t>(Registrant’s telephone number, including area code)</w:t>
            </w:r>
          </w:p>
        </w:tc>
        <w:tc>
          <w:tcPr>
            <w:tcW w:w="3080" w:type="dxa"/>
            <w:vAlign w:val="bottom"/>
          </w:tcPr>
          <w:p>
            <w:pPr>
              <w:spacing w:after="0"/>
              <w:rPr>
                <w:sz w:val="18"/>
                <w:szCs w:val="18"/>
                <w:color w:val="auto"/>
              </w:rPr>
            </w:pPr>
          </w:p>
        </w:tc>
      </w:tr>
    </w:tbl>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267970</wp:posOffset>
            </wp:positionV>
            <wp:extent cx="2537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88" w:lineRule="exact"/>
        <w:rPr>
          <w:sz w:val="20"/>
          <w:szCs w:val="20"/>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59"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9"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4140" w:type="dxa"/>
            <w:vAlign w:val="bottom"/>
            <w:vMerge w:val="restart"/>
          </w:tcPr>
          <w:p>
            <w:pPr>
              <w:ind w:left="1440"/>
              <w:spacing w:after="0"/>
              <w:rPr>
                <w:sz w:val="20"/>
                <w:szCs w:val="20"/>
                <w:color w:val="auto"/>
              </w:rPr>
            </w:pPr>
            <w:r>
              <w:rPr>
                <w:rFonts w:ascii="Arial" w:cs="Arial" w:eastAsia="Arial" w:hAnsi="Arial"/>
                <w:sz w:val="16"/>
                <w:szCs w:val="16"/>
                <w:b w:val="1"/>
                <w:bCs w:val="1"/>
                <w:color w:val="auto"/>
              </w:rPr>
              <w:t>Title of each class</w:t>
            </w:r>
          </w:p>
        </w:tc>
        <w:tc>
          <w:tcPr>
            <w:tcW w:w="140" w:type="dxa"/>
            <w:vAlign w:val="bottom"/>
            <w:vMerge w:val="restart"/>
          </w:tcPr>
          <w:p>
            <w:pPr>
              <w:spacing w:after="0"/>
              <w:rPr>
                <w:sz w:val="19"/>
                <w:szCs w:val="19"/>
                <w:color w:val="auto"/>
              </w:rPr>
            </w:pP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Trading Symbol(s)</w:t>
            </w:r>
          </w:p>
        </w:tc>
        <w:tc>
          <w:tcPr>
            <w:tcW w:w="41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66"/>
        </w:trPr>
        <w:tc>
          <w:tcPr>
            <w:tcW w:w="41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280" w:type="dxa"/>
            <w:vAlign w:val="bottom"/>
            <w:gridSpan w:val="2"/>
          </w:tcPr>
          <w:p>
            <w:pPr>
              <w:ind w:left="560"/>
              <w:spacing w:after="0"/>
              <w:rPr>
                <w:sz w:val="20"/>
                <w:szCs w:val="20"/>
                <w:color w:val="auto"/>
              </w:rPr>
            </w:pPr>
            <w:r>
              <w:rPr>
                <w:rFonts w:ascii="Arial" w:cs="Arial" w:eastAsia="Arial" w:hAnsi="Arial"/>
                <w:sz w:val="16"/>
                <w:szCs w:val="16"/>
                <w:color w:val="auto"/>
              </w:rPr>
              <w:t>Common stock, par value $0.001 per share</w:t>
            </w: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TLN</w:t>
            </w:r>
          </w:p>
        </w:tc>
        <w:tc>
          <w:tcPr>
            <w:tcW w:w="418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CFR§230.405) or Rule 12b-2 of the Securities Exchange Act of 1934 (17 CFR §240.12b-2).</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4"/>
          <w:szCs w:val="14"/>
          <w:color w:val="auto"/>
        </w:rPr>
        <w:t>☐</w:t>
      </w:r>
    </w:p>
    <w:p>
      <w:pPr>
        <w:spacing w:after="0" w:line="155" w:lineRule="exact"/>
        <w:rPr>
          <w:sz w:val="20"/>
          <w:szCs w:val="20"/>
          <w:color w:val="auto"/>
        </w:rPr>
      </w:pPr>
    </w:p>
    <w:p>
      <w:pPr>
        <w:ind w:right="40"/>
        <w:spacing w:after="0" w:line="22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0940"/>
          </w:cols>
          <w:pgMar w:left="500" w:top="1253" w:right="459" w:bottom="1440" w:gutter="0" w:footer="0" w:header="0"/>
        </w:sectPr>
      </w:pPr>
    </w:p>
    <w:bookmarkStart w:id="2" w:name="page3"/>
    <w:bookmarkEnd w:id="2"/>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On January 6, 2025, Talen Energy Supply, LLC (the “Issuer”), a direct subsidiary of Talen Energy Corporation (the “Company”), issued a press release announcing that it is soliciting consents (the “Consent Solicitation”) to adopt certain proposed amendments to the Indenture, dated as of May 12, 2023, between the Issuer and Wilmington Savings Fund Society, FSB, as trustee (the “Trustee”), as amended by the first supplemental indenture, dated as of May 17, 2023, among the Issuer, the guarantors party thereto (the “Guarantors”) and the Trustee, and as further amended by the second supplemental Indenture, dated as of October 6, 2023, among the Company, the Guarantors and the Trustee, relating to the Issuer’s $1,200,000,000 aggregate principal amount of</w:t>
      </w:r>
    </w:p>
    <w:p>
      <w:pPr>
        <w:spacing w:after="0" w:line="3"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8.625% Senior Secured Notes due 2030 (the “Notes”) to (i) modify certain provisions, including certain covenants and related definitions, in the Indenture in order to substantially conform to the corresponding provisions set forth in the amendments to the Issuer’s credit agreement described in the Company’s Current Reports on Form 8-K filed on December 13, 2024 and December 20, 2024 and (ii) waive the Issuer’s right to optionally redeem up to 10.0% of the Notes prior to June 1, 2025 at a price equal to 103.000% of the aggregate principal amount of Notes to be redeemed. A copy of the press release announcing the Consent Solicitation is attached hereto as Exhibit 99.1 and incorporated by reference herein.</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60" w:type="dxa"/>
            <w:vAlign w:val="bottom"/>
          </w:tcPr>
          <w:p>
            <w:pPr>
              <w:spacing w:after="0"/>
              <w:rPr>
                <w:sz w:val="20"/>
                <w:szCs w:val="20"/>
                <w:color w:val="auto"/>
              </w:rPr>
            </w:pPr>
            <w:r>
              <w:rPr>
                <w:rFonts w:ascii="Arial" w:cs="Arial" w:eastAsia="Arial" w:hAnsi="Arial"/>
                <w:sz w:val="16"/>
                <w:szCs w:val="16"/>
                <w:color w:val="auto"/>
              </w:rPr>
              <w:t>(d) Exhibits:</w:t>
            </w:r>
          </w:p>
        </w:tc>
        <w:tc>
          <w:tcPr>
            <w:tcW w:w="274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400"/>
        </w:trPr>
        <w:tc>
          <w:tcPr>
            <w:tcW w:w="2060" w:type="dxa"/>
            <w:vAlign w:val="bottom"/>
          </w:tcPr>
          <w:p>
            <w:pPr>
              <w:ind w:left="20"/>
              <w:spacing w:after="0"/>
              <w:rPr>
                <w:sz w:val="20"/>
                <w:szCs w:val="20"/>
                <w:color w:val="auto"/>
              </w:rPr>
            </w:pPr>
            <w:r>
              <w:rPr>
                <w:rFonts w:ascii="Arial" w:cs="Arial" w:eastAsia="Arial" w:hAnsi="Arial"/>
                <w:sz w:val="16"/>
                <w:szCs w:val="16"/>
                <w:b w:val="1"/>
                <w:bCs w:val="1"/>
                <w:color w:val="auto"/>
              </w:rPr>
              <w:t>Exhibit No.</w:t>
            </w:r>
          </w:p>
        </w:tc>
        <w:tc>
          <w:tcPr>
            <w:tcW w:w="734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183"/>
        </w:trPr>
        <w:tc>
          <w:tcPr>
            <w:tcW w:w="2060" w:type="dxa"/>
            <w:vAlign w:val="bottom"/>
          </w:tcPr>
          <w:p>
            <w:pPr>
              <w:ind w:left="20"/>
              <w:spacing w:after="0"/>
              <w:rPr>
                <w:sz w:val="20"/>
                <w:szCs w:val="20"/>
                <w:color w:val="auto"/>
              </w:rPr>
            </w:pPr>
            <w:r>
              <w:rPr>
                <w:rFonts w:ascii="Arial" w:cs="Arial" w:eastAsia="Arial" w:hAnsi="Arial"/>
                <w:sz w:val="16"/>
                <w:szCs w:val="16"/>
                <w:color w:val="auto"/>
              </w:rPr>
              <w:t>99.1</w:t>
            </w:r>
          </w:p>
        </w:tc>
        <w:tc>
          <w:tcPr>
            <w:tcW w:w="7340" w:type="dxa"/>
            <w:vAlign w:val="bottom"/>
            <w:gridSpan w:val="2"/>
          </w:tcPr>
          <w:p>
            <w:pPr>
              <w:spacing w:after="0"/>
              <w:rPr>
                <w:rFonts w:ascii="Arial" w:cs="Arial" w:eastAsia="Arial" w:hAnsi="Arial"/>
                <w:sz w:val="16"/>
                <w:szCs w:val="16"/>
                <w:color w:val="0000FF"/>
              </w:rPr>
            </w:pPr>
            <w:hyperlink r:id="rId13">
              <w:r>
                <w:rPr>
                  <w:rFonts w:ascii="Arial" w:cs="Arial" w:eastAsia="Arial" w:hAnsi="Arial"/>
                  <w:sz w:val="16"/>
                  <w:szCs w:val="16"/>
                  <w:color w:val="0000FF"/>
                </w:rPr>
                <w:t>Press Release dated January 6, 2025.</w:t>
              </w:r>
            </w:hyperlink>
          </w:p>
        </w:tc>
      </w:tr>
      <w:tr>
        <w:trPr>
          <w:trHeight w:val="20"/>
        </w:trPr>
        <w:tc>
          <w:tcPr>
            <w:tcW w:w="206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48"/>
        </w:trPr>
        <w:tc>
          <w:tcPr>
            <w:tcW w:w="2060" w:type="dxa"/>
            <w:vAlign w:val="bottom"/>
          </w:tcPr>
          <w:p>
            <w:pPr>
              <w:ind w:left="20"/>
              <w:spacing w:after="0"/>
              <w:rPr>
                <w:sz w:val="20"/>
                <w:szCs w:val="20"/>
                <w:color w:val="auto"/>
              </w:rPr>
            </w:pPr>
            <w:r>
              <w:rPr>
                <w:rFonts w:ascii="Arial" w:cs="Arial" w:eastAsia="Arial" w:hAnsi="Arial"/>
                <w:sz w:val="16"/>
                <w:szCs w:val="16"/>
                <w:color w:val="auto"/>
              </w:rPr>
              <w:t>104</w:t>
            </w:r>
          </w:p>
        </w:tc>
        <w:tc>
          <w:tcPr>
            <w:tcW w:w="7340" w:type="dxa"/>
            <w:vAlign w:val="bottom"/>
            <w:gridSpan w:val="2"/>
          </w:tcPr>
          <w:p>
            <w:pPr>
              <w:spacing w:after="0"/>
              <w:rPr>
                <w:sz w:val="20"/>
                <w:szCs w:val="20"/>
                <w:color w:val="auto"/>
              </w:rPr>
            </w:pPr>
            <w:r>
              <w:rPr>
                <w:rFonts w:ascii="Arial" w:cs="Arial" w:eastAsia="Arial" w:hAnsi="Arial"/>
                <w:sz w:val="16"/>
                <w:szCs w:val="16"/>
                <w:color w:val="auto"/>
              </w:rPr>
              <w:t>Cover Page Interactive Data File (cover page XBRL tags embedded within the Inline XBRL document).</w:t>
            </w:r>
          </w:p>
        </w:tc>
      </w:tr>
    </w:tbl>
    <w:p>
      <w:pPr>
        <w:sectPr>
          <w:pgSz w:w="11900" w:h="16838" w:orient="portrait"/>
          <w:cols w:equalWidth="0" w:num="1">
            <w:col w:w="11220"/>
          </w:cols>
          <w:pgMar w:left="320" w:top="1440" w:right="359" w:bottom="1440" w:gutter="0" w:footer="0" w:header="0"/>
        </w:sectPr>
      </w:pPr>
    </w:p>
    <w:bookmarkStart w:id="3" w:name="page4"/>
    <w:bookmarkEnd w:id="3"/>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67"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4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TALEN ENERGY CORPORATION</w:t>
            </w:r>
          </w:p>
        </w:tc>
        <w:tc>
          <w:tcPr>
            <w:tcW w:w="0" w:type="dxa"/>
            <w:vAlign w:val="bottom"/>
          </w:tcPr>
          <w:p>
            <w:pPr>
              <w:spacing w:after="0"/>
              <w:rPr>
                <w:sz w:val="1"/>
                <w:szCs w:val="1"/>
                <w:color w:val="auto"/>
              </w:rPr>
            </w:pPr>
          </w:p>
        </w:tc>
      </w:tr>
      <w:tr>
        <w:trPr>
          <w:trHeight w:val="191"/>
        </w:trPr>
        <w:tc>
          <w:tcPr>
            <w:tcW w:w="540" w:type="dxa"/>
            <w:vAlign w:val="bottom"/>
            <w:vMerge w:val="restart"/>
          </w:tcPr>
          <w:p>
            <w:pPr>
              <w:spacing w:after="0"/>
              <w:rPr>
                <w:sz w:val="20"/>
                <w:szCs w:val="20"/>
                <w:color w:val="auto"/>
              </w:rPr>
            </w:pPr>
            <w:r>
              <w:rPr>
                <w:rFonts w:ascii="Arial" w:cs="Arial" w:eastAsia="Arial" w:hAnsi="Arial"/>
                <w:sz w:val="16"/>
                <w:szCs w:val="16"/>
                <w:color w:val="auto"/>
              </w:rPr>
              <w:t>Date:</w:t>
            </w:r>
          </w:p>
        </w:tc>
        <w:tc>
          <w:tcPr>
            <w:tcW w:w="6260" w:type="dxa"/>
            <w:vAlign w:val="bottom"/>
          </w:tcPr>
          <w:p>
            <w:pPr>
              <w:ind w:left="160"/>
              <w:spacing w:after="0"/>
              <w:rPr>
                <w:sz w:val="20"/>
                <w:szCs w:val="20"/>
                <w:color w:val="auto"/>
              </w:rPr>
            </w:pPr>
            <w:r>
              <w:rPr>
                <w:rFonts w:ascii="Arial" w:cs="Arial" w:eastAsia="Arial" w:hAnsi="Arial"/>
                <w:sz w:val="16"/>
                <w:szCs w:val="16"/>
                <w:color w:val="auto"/>
              </w:rPr>
              <w:t>January 6, 2025</w:t>
            </w:r>
          </w:p>
        </w:tc>
        <w:tc>
          <w:tcPr>
            <w:tcW w:w="4420" w:type="dxa"/>
            <w:vAlign w:val="bottom"/>
            <w:vMerge w:val="restart"/>
          </w:tcPr>
          <w:p>
            <w:pPr>
              <w:ind w:left="20"/>
              <w:spacing w:after="0"/>
              <w:rPr>
                <w:sz w:val="20"/>
                <w:szCs w:val="20"/>
                <w:color w:val="auto"/>
              </w:rPr>
            </w:pPr>
            <w:r>
              <w:rPr>
                <w:rFonts w:ascii="Arial" w:cs="Arial" w:eastAsia="Arial" w:hAnsi="Arial"/>
                <w:sz w:val="16"/>
                <w:szCs w:val="16"/>
                <w:color w:val="auto"/>
              </w:rPr>
              <w:t>/s/ Terry L. Nutt</w:t>
            </w:r>
          </w:p>
        </w:tc>
        <w:tc>
          <w:tcPr>
            <w:tcW w:w="0" w:type="dxa"/>
            <w:vAlign w:val="bottom"/>
          </w:tcPr>
          <w:p>
            <w:pPr>
              <w:spacing w:after="0"/>
              <w:rPr>
                <w:sz w:val="1"/>
                <w:szCs w:val="1"/>
                <w:color w:val="auto"/>
              </w:rPr>
            </w:pPr>
          </w:p>
        </w:tc>
      </w:tr>
      <w:tr>
        <w:trPr>
          <w:trHeight w:val="228"/>
        </w:trPr>
        <w:tc>
          <w:tcPr>
            <w:tcW w:w="540" w:type="dxa"/>
            <w:vAlign w:val="bottom"/>
            <w:vMerge w:val="continue"/>
          </w:tcPr>
          <w:p>
            <w:pPr>
              <w:spacing w:after="0"/>
              <w:rPr>
                <w:sz w:val="19"/>
                <w:szCs w:val="19"/>
                <w:color w:val="auto"/>
              </w:rPr>
            </w:pPr>
          </w:p>
        </w:tc>
        <w:tc>
          <w:tcPr>
            <w:tcW w:w="6260" w:type="dxa"/>
            <w:vAlign w:val="bottom"/>
          </w:tcPr>
          <w:p>
            <w:pPr>
              <w:ind w:left="5500"/>
              <w:spacing w:after="0"/>
              <w:rPr>
                <w:sz w:val="20"/>
                <w:szCs w:val="20"/>
                <w:color w:val="auto"/>
              </w:rPr>
            </w:pPr>
            <w:r>
              <w:rPr>
                <w:rFonts w:ascii="Arial" w:cs="Arial" w:eastAsia="Arial" w:hAnsi="Arial"/>
                <w:sz w:val="16"/>
                <w:szCs w:val="16"/>
                <w:color w:val="auto"/>
              </w:rPr>
              <w:t>By:</w:t>
            </w:r>
          </w:p>
        </w:tc>
        <w:tc>
          <w:tcPr>
            <w:tcW w:w="4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6260" w:type="dxa"/>
            <w:vAlign w:val="bottom"/>
          </w:tcPr>
          <w:p>
            <w:pPr>
              <w:ind w:left="5500"/>
              <w:spacing w:after="0"/>
              <w:rPr>
                <w:sz w:val="20"/>
                <w:szCs w:val="20"/>
                <w:color w:val="auto"/>
              </w:rPr>
            </w:pPr>
            <w:r>
              <w:rPr>
                <w:rFonts w:ascii="Arial" w:cs="Arial" w:eastAsia="Arial" w:hAnsi="Arial"/>
                <w:sz w:val="16"/>
                <w:szCs w:val="16"/>
                <w:color w:val="auto"/>
              </w:rPr>
              <w:t>Name:</w:t>
            </w:r>
          </w:p>
        </w:tc>
        <w:tc>
          <w:tcPr>
            <w:tcW w:w="4420" w:type="dxa"/>
            <w:vAlign w:val="bottom"/>
          </w:tcPr>
          <w:p>
            <w:pPr>
              <w:ind w:left="20"/>
              <w:spacing w:after="0"/>
              <w:rPr>
                <w:sz w:val="20"/>
                <w:szCs w:val="20"/>
                <w:color w:val="auto"/>
              </w:rPr>
            </w:pPr>
            <w:r>
              <w:rPr>
                <w:rFonts w:ascii="Arial" w:cs="Arial" w:eastAsia="Arial" w:hAnsi="Arial"/>
                <w:sz w:val="16"/>
                <w:szCs w:val="16"/>
                <w:color w:val="auto"/>
              </w:rPr>
              <w:t>Terry L. Nutt</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6260" w:type="dxa"/>
            <w:vAlign w:val="bottom"/>
          </w:tcPr>
          <w:p>
            <w:pPr>
              <w:ind w:left="5500"/>
              <w:spacing w:after="0"/>
              <w:rPr>
                <w:sz w:val="20"/>
                <w:szCs w:val="20"/>
                <w:color w:val="auto"/>
              </w:rPr>
            </w:pPr>
            <w:r>
              <w:rPr>
                <w:rFonts w:ascii="Arial" w:cs="Arial" w:eastAsia="Arial" w:hAnsi="Arial"/>
                <w:sz w:val="16"/>
                <w:szCs w:val="16"/>
                <w:color w:val="auto"/>
              </w:rPr>
              <w:t>Title:</w:t>
            </w:r>
          </w:p>
        </w:tc>
        <w:tc>
          <w:tcPr>
            <w:tcW w:w="442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s://www.sec.gov/Archives/edgar/data/1622536/000162828025000452/a20250106pressreleasecom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2025-01-07T15:23:57Z</dcterms:created>
  <dcterms:modified xsi:type="dcterms:W3CDTF">2025-01-07T15:23:57Z</dcterms:modified>
</cp:coreProperties>
</file>