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275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27596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34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30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Schwartzstein Christine Benson</w:t>
              </w:r>
            </w:hyperlink>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Talen Energy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TLN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300" w:type="dxa"/>
            <w:vAlign w:val="bottom"/>
            <w:gridSpan w:val="3"/>
            <w:vMerge w:val="continue"/>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740" w:type="dxa"/>
            <w:vAlign w:val="bottom"/>
            <w:tcBorders>
              <w:top w:val="single" w:sz="8" w:color="0000EE"/>
              <w:bottom w:val="single" w:sz="8" w:color="9A9A9A"/>
            </w:tcBorders>
          </w:tcPr>
          <w:p>
            <w:pPr>
              <w:spacing w:after="0"/>
              <w:rPr>
                <w:sz w:val="12"/>
                <w:szCs w:val="12"/>
                <w:color w:val="auto"/>
              </w:rPr>
            </w:pPr>
          </w:p>
        </w:tc>
        <w:tc>
          <w:tcPr>
            <w:tcW w:w="1380" w:type="dxa"/>
            <w:vAlign w:val="bottom"/>
            <w:tcBorders>
              <w:top w:val="single" w:sz="8" w:color="0000EE"/>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25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0"/>
                <w:szCs w:val="10"/>
                <w:color w:val="auto"/>
              </w:rPr>
              <w:t>(Last)</w:t>
            </w:r>
          </w:p>
        </w:tc>
        <w:tc>
          <w:tcPr>
            <w:tcW w:w="1560" w:type="dxa"/>
            <w:vAlign w:val="bottom"/>
            <w:gridSpan w:val="2"/>
          </w:tcPr>
          <w:p>
            <w:pPr>
              <w:ind w:left="480"/>
              <w:spacing w:after="0"/>
              <w:rPr>
                <w:sz w:val="20"/>
                <w:szCs w:val="20"/>
                <w:color w:val="auto"/>
              </w:rPr>
            </w:pPr>
            <w:r>
              <w:rPr>
                <w:rFonts w:ascii="Arial" w:cs="Arial" w:eastAsia="Arial" w:hAnsi="Arial"/>
                <w:sz w:val="10"/>
                <w:szCs w:val="10"/>
                <w:color w:val="auto"/>
              </w:rPr>
              <w:t>(First)</w:t>
            </w:r>
          </w:p>
        </w:tc>
        <w:tc>
          <w:tcPr>
            <w:tcW w:w="1380" w:type="dxa"/>
            <w:vAlign w:val="bottom"/>
          </w:tcPr>
          <w:p>
            <w:pPr>
              <w:ind w:left="18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2929 ALLEN PKWY, SUITE 2200</w:t>
            </w:r>
          </w:p>
        </w:tc>
        <w:tc>
          <w:tcPr>
            <w:tcW w:w="1380" w:type="dxa"/>
            <w:vAlign w:val="bottom"/>
          </w:tcPr>
          <w:p>
            <w:pPr>
              <w:spacing w:after="0"/>
              <w:rPr>
                <w:sz w:val="15"/>
                <w:szCs w:val="15"/>
                <w:color w:val="auto"/>
              </w:rPr>
            </w:pP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05/22/2026</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5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gridSpan w:val="6"/>
          </w:tcPr>
          <w:p>
            <w:pPr>
              <w:jc w:val="right"/>
              <w:spacing w:after="0"/>
              <w:rPr>
                <w:sz w:val="20"/>
                <w:szCs w:val="20"/>
                <w:color w:val="auto"/>
              </w:rPr>
            </w:pPr>
            <w:r>
              <w:rPr>
                <w:rFonts w:ascii="Arial" w:cs="Arial" w:eastAsia="Arial" w:hAnsi="Arial"/>
                <w:sz w:val="10"/>
                <w:szCs w:val="10"/>
                <w:color w:val="auto"/>
              </w:rPr>
              <w:t>4. If Amendment, Date of Original Filed (Month/Day/Year)</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HOUSTON</w:t>
            </w: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TX</w:t>
            </w:r>
          </w:p>
        </w:tc>
        <w:tc>
          <w:tcPr>
            <w:tcW w:w="17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0000FF"/>
              </w:rPr>
              <w:t>77091</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1"/>
          </w:tcPr>
          <w:p>
            <w:pPr>
              <w:jc w:val="right"/>
              <w:ind w:right="1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jc w:val="right"/>
              <w:ind w:right="7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2"/>
          </w:tcPr>
          <w:p>
            <w:pPr>
              <w:ind w:left="10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2"/>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60" w:type="dxa"/>
            <w:vAlign w:val="bottom"/>
          </w:tcPr>
          <w:p>
            <w:pPr>
              <w:ind w:left="120"/>
              <w:spacing w:after="0"/>
              <w:rPr>
                <w:sz w:val="20"/>
                <w:szCs w:val="20"/>
                <w:color w:val="auto"/>
              </w:rPr>
            </w:pPr>
            <w:r>
              <w:rPr>
                <w:rFonts w:ascii="Arial" w:cs="Arial" w:eastAsia="Arial" w:hAnsi="Arial"/>
                <w:sz w:val="9"/>
                <w:szCs w:val="9"/>
                <w:b w:val="1"/>
                <w:bCs w:val="1"/>
                <w:color w:val="auto"/>
              </w:rPr>
              <w:t>if any</w:t>
            </w:r>
          </w:p>
        </w:tc>
        <w:tc>
          <w:tcPr>
            <w:tcW w:w="480" w:type="dxa"/>
            <w:vAlign w:val="bottom"/>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2"/>
          </w:tcPr>
          <w:p>
            <w:pPr>
              <w:ind w:left="120"/>
              <w:spacing w:after="0" w:line="74"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6"/>
                <w:szCs w:val="6"/>
                <w:color w:val="auto"/>
              </w:rPr>
            </w:pPr>
          </w:p>
        </w:tc>
        <w:tc>
          <w:tcPr>
            <w:tcW w:w="760" w:type="dxa"/>
            <w:vAlign w:val="bottom"/>
            <w:vMerge w:val="restart"/>
          </w:tcPr>
          <w:p>
            <w:pPr>
              <w:jc w:val="center"/>
              <w:ind w:left="185"/>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jc w:val="right"/>
              <w:ind w:right="29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05/22/2026</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2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4,133</w:t>
            </w:r>
          </w:p>
        </w:tc>
        <w:tc>
          <w:tcPr>
            <w:tcW w:w="760" w:type="dxa"/>
            <w:vAlign w:val="bottom"/>
          </w:tcPr>
          <w:p>
            <w:pPr>
              <w:jc w:val="center"/>
              <w:ind w:left="205"/>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280"/>
              <w:spacing w:after="0"/>
              <w:rPr>
                <w:sz w:val="20"/>
                <w:szCs w:val="20"/>
                <w:color w:val="auto"/>
              </w:rPr>
            </w:pPr>
            <w:r>
              <w:rPr>
                <w:rFonts w:ascii="Times New Roman" w:cs="Times New Roman" w:eastAsia="Times New Roman" w:hAnsi="Times New Roman"/>
                <w:sz w:val="9"/>
                <w:szCs w:val="9"/>
                <w:color w:val="008000"/>
              </w:rPr>
              <w:t>(1)</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0000FF"/>
              </w:rPr>
              <w:t>6,736</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420" w:type="dxa"/>
            <w:vAlign w:val="bottom"/>
            <w:tcBorders>
              <w:bottom w:val="single" w:sz="8" w:color="2C2C2C"/>
            </w:tcBorders>
            <w:gridSpan w:val="11"/>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jc w:val="right"/>
              <w:ind w:right="13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44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46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8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20"/>
                <w:szCs w:val="20"/>
                <w:color w:val="auto"/>
              </w:rPr>
            </w:pPr>
            <w:r>
              <w:rPr>
                <w:rFonts w:ascii="Arial" w:cs="Arial" w:eastAsia="Arial" w:hAnsi="Arial"/>
                <w:sz w:val="9"/>
                <w:szCs w:val="9"/>
                <w:b w:val="1"/>
                <w:bCs w:val="1"/>
                <w:color w:val="auto"/>
              </w:rPr>
              <w:t>5)</w:t>
            </w: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vMerge w:val="restart"/>
          </w:tcPr>
          <w:p>
            <w:pPr>
              <w:ind w:left="4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jc w:val="right"/>
              <w:ind w:right="1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20" w:type="dxa"/>
            <w:vAlign w:val="bottom"/>
          </w:tcPr>
          <w:p>
            <w:pPr>
              <w:spacing w:after="0"/>
              <w:rPr>
                <w:sz w:val="20"/>
                <w:szCs w:val="20"/>
                <w:color w:val="auto"/>
              </w:rPr>
            </w:pPr>
            <w:r>
              <w:rPr>
                <w:rFonts w:ascii="Arial" w:cs="Arial" w:eastAsia="Arial" w:hAnsi="Arial"/>
                <w:sz w:val="9"/>
                <w:szCs w:val="9"/>
                <w:b w:val="1"/>
                <w:bCs w:val="1"/>
                <w:color w:val="auto"/>
              </w:rPr>
              <w:t>Expiration</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jc w:val="right"/>
              <w:ind w:right="1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Code    V</w:t>
            </w:r>
          </w:p>
        </w:tc>
        <w:tc>
          <w:tcPr>
            <w:tcW w:w="460" w:type="dxa"/>
            <w:vAlign w:val="bottom"/>
          </w:tcPr>
          <w:p>
            <w:pPr>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jc w:val="right"/>
              <w:ind w:right="271"/>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jc w:val="right"/>
              <w:ind w:right="17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2023 Restricted Stock</w:t>
            </w:r>
          </w:p>
        </w:tc>
        <w:tc>
          <w:tcPr>
            <w:tcW w:w="720" w:type="dxa"/>
            <w:vAlign w:val="bottom"/>
            <w:vMerge w:val="restart"/>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00FF"/>
              </w:rPr>
              <w:t>05/22/2026</w:t>
            </w:r>
          </w:p>
        </w:tc>
        <w:tc>
          <w:tcPr>
            <w:tcW w:w="88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60" w:type="dxa"/>
            <w:vAlign w:val="bottom"/>
          </w:tcPr>
          <w:p>
            <w:pPr>
              <w:spacing w:after="0"/>
              <w:rPr>
                <w:sz w:val="12"/>
                <w:szCs w:val="12"/>
                <w:color w:val="auto"/>
              </w:rPr>
            </w:pPr>
          </w:p>
        </w:tc>
        <w:tc>
          <w:tcPr>
            <w:tcW w:w="480" w:type="dxa"/>
            <w:vAlign w:val="bottom"/>
            <w:vMerge w:val="restart"/>
          </w:tcPr>
          <w:p>
            <w:pPr>
              <w:jc w:val="right"/>
              <w:ind w:right="91"/>
              <w:spacing w:after="0"/>
              <w:rPr>
                <w:sz w:val="20"/>
                <w:szCs w:val="20"/>
                <w:color w:val="auto"/>
              </w:rPr>
            </w:pPr>
            <w:r>
              <w:rPr>
                <w:rFonts w:ascii="Times New Roman" w:cs="Times New Roman" w:eastAsia="Times New Roman" w:hAnsi="Times New Roman"/>
                <w:sz w:val="10"/>
                <w:szCs w:val="10"/>
                <w:color w:val="0000FF"/>
              </w:rPr>
              <w:t>4,133</w:t>
            </w: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9"/>
                <w:szCs w:val="9"/>
                <w:color w:val="008000"/>
              </w:rPr>
              <w:t>(1)</w:t>
            </w:r>
          </w:p>
        </w:tc>
        <w:tc>
          <w:tcPr>
            <w:tcW w:w="260" w:type="dxa"/>
            <w:vAlign w:val="bottom"/>
          </w:tcPr>
          <w:p>
            <w:pPr>
              <w:spacing w:after="0"/>
              <w:rPr>
                <w:sz w:val="12"/>
                <w:szCs w:val="12"/>
                <w:color w:val="auto"/>
              </w:rPr>
            </w:pPr>
          </w:p>
        </w:tc>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9"/>
                <w:szCs w:val="9"/>
                <w:color w:val="008000"/>
              </w:rPr>
              <w:t>(1)</w:t>
            </w:r>
          </w:p>
        </w:tc>
        <w:tc>
          <w:tcPr>
            <w:tcW w:w="140" w:type="dxa"/>
            <w:vAlign w:val="bottom"/>
          </w:tcPr>
          <w:p>
            <w:pPr>
              <w:spacing w:after="0"/>
              <w:rPr>
                <w:sz w:val="12"/>
                <w:szCs w:val="12"/>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4,133</w:t>
            </w:r>
          </w:p>
        </w:tc>
        <w:tc>
          <w:tcPr>
            <w:tcW w:w="780" w:type="dxa"/>
            <w:vAlign w:val="bottom"/>
            <w:gridSpan w:val="2"/>
            <w:vMerge w:val="restart"/>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00FF"/>
              </w:rPr>
              <w:t>0</w:t>
            </w:r>
          </w:p>
        </w:tc>
        <w:tc>
          <w:tcPr>
            <w:tcW w:w="280" w:type="dxa"/>
            <w:vAlign w:val="bottom"/>
          </w:tcPr>
          <w:p>
            <w:pPr>
              <w:spacing w:after="0"/>
              <w:rPr>
                <w:sz w:val="12"/>
                <w:szCs w:val="12"/>
                <w:color w:val="auto"/>
              </w:rPr>
            </w:pP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0000FF"/>
              </w:rPr>
              <w:t>Units</w:t>
            </w:r>
          </w:p>
        </w:tc>
        <w:tc>
          <w:tcPr>
            <w:tcW w:w="7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4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("RSU") was issued under the Talen Energy Corporation 2023 Equity Incentive Plan (the "Plan") and represents a contingent right to receive one share of common stock, par value $0.001 ("common stock") of Talen Energy Corporation (the "Company") or its cash equivalent, as determined at the time of settlement by the Compensation Committee of the Company's Board of Directors pursuant to the terms of the Plan. The reporting person's RSUs were granted on June 16, 2023 and the final installment of the reporting person's RSUs vested on May 17, 2026, the third anniversary of the vesting commencement date.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Daniel J. Kelly, attorney-in-fact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05/27/2026</w:t>
            </w:r>
          </w:p>
        </w:tc>
      </w:tr>
      <w:tr>
        <w:trPr>
          <w:trHeight w:val="178"/>
        </w:trPr>
        <w:tc>
          <w:tcPr>
            <w:tcW w:w="6580" w:type="dxa"/>
            <w:vAlign w:val="bottom"/>
          </w:tcPr>
          <w:p>
            <w:pPr>
              <w:spacing w:after="0"/>
              <w:rPr>
                <w:sz w:val="15"/>
                <w:szCs w:val="15"/>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95618" TargetMode="External"/><Relationship Id="rId14" Type="http://schemas.openxmlformats.org/officeDocument/2006/relationships/hyperlink" Target="http://www.sec.gov/cgi-bin/browse-edgar?action=getcompany&amp;CIK=0001622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2026-05-27T17:38:35Z</dcterms:created>
  <dcterms:modified xsi:type="dcterms:W3CDTF">2026-05-27T17:38:35Z</dcterms:modified>
</cp:coreProperties>
</file>