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503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503920"/>
                    </a:xfrm>
                    <a:prstGeom prst="rect">
                      <a:avLst/>
                    </a:prstGeom>
                    <a:noFill/>
                  </pic:spPr>
                </pic:pic>
              </a:graphicData>
            </a:graphic>
          </wp:anchor>
        </w:drawing>
      </w:r>
    </w:p>
    <w:p>
      <w:pPr>
        <w:spacing w:after="0" w:line="1285" w:lineRule="exact"/>
        <w:rPr>
          <w:sz w:val="24"/>
          <w:szCs w:val="24"/>
          <w:color w:val="auto"/>
        </w:rPr>
      </w:pPr>
    </w:p>
    <w:p>
      <w:pPr>
        <w:sectPr>
          <w:pgSz w:w="11900" w:h="16894"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Rubric Capital Management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 EAST 44TH ST, SUITE 1630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Talen Energy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12/13/2024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94" w:orient="portrait"/>
          <w:cols w:equalWidth="0" w:num="3">
            <w:col w:w="3200" w:space="720"/>
            <w:col w:w="3095" w:space="720"/>
            <w:col w:w="3345"/>
          </w:cols>
          <w:pgMar w:left="460" w:top="219" w:right="359" w:bottom="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94"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3"/>
                <w:szCs w:val="13"/>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92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9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12/13/2024</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vMerge w:val="restart"/>
          </w:tcPr>
          <w:p>
            <w:pPr>
              <w:jc w:val="center"/>
              <w:ind w:left="80"/>
              <w:spacing w:after="0"/>
              <w:rPr>
                <w:sz w:val="20"/>
                <w:szCs w:val="20"/>
                <w:color w:val="auto"/>
              </w:rPr>
            </w:pPr>
            <w:r>
              <w:rPr>
                <w:rFonts w:ascii="Times New Roman" w:cs="Times New Roman" w:eastAsia="Times New Roman" w:hAnsi="Times New Roman"/>
                <w:sz w:val="13"/>
                <w:szCs w:val="13"/>
                <w:color w:val="0000FF"/>
                <w:w w:val="82"/>
              </w:rPr>
              <w:t>S</w:t>
            </w:r>
          </w:p>
        </w:tc>
        <w:tc>
          <w:tcPr>
            <w:tcW w:w="480" w:type="dxa"/>
            <w:vAlign w:val="bottom"/>
          </w:tcPr>
          <w:p>
            <w:pPr>
              <w:spacing w:after="0"/>
              <w:rPr>
                <w:sz w:val="21"/>
                <w:szCs w:val="21"/>
                <w:color w:val="auto"/>
              </w:rPr>
            </w:pPr>
          </w:p>
        </w:tc>
        <w:tc>
          <w:tcPr>
            <w:tcW w:w="920" w:type="dxa"/>
            <w:vAlign w:val="bottom"/>
            <w:vMerge w:val="restart"/>
          </w:tcPr>
          <w:p>
            <w:pPr>
              <w:jc w:val="right"/>
              <w:ind w:right="71"/>
              <w:spacing w:after="0"/>
              <w:rPr>
                <w:sz w:val="20"/>
                <w:szCs w:val="20"/>
                <w:color w:val="auto"/>
              </w:rPr>
            </w:pPr>
            <w:r>
              <w:rPr>
                <w:rFonts w:ascii="Times New Roman" w:cs="Times New Roman" w:eastAsia="Times New Roman" w:hAnsi="Times New Roman"/>
                <w:sz w:val="17"/>
                <w:szCs w:val="17"/>
                <w:color w:val="0000FF"/>
              </w:rPr>
              <w:t>4,893,507</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204.3524</w:t>
            </w: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6,475,107</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112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680" w:type="dxa"/>
            <w:vAlign w:val="bottom"/>
            <w:tcBorders>
              <w:bottom w:val="single" w:sz="8" w:color="2C2C2C"/>
            </w:tcBorders>
            <w:gridSpan w:val="5"/>
            <w:vMerge w:val="continue"/>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7"/>
                <w:szCs w:val="17"/>
                <w:color w:val="0000FF"/>
              </w:rPr>
              <w:t>12/13/2024</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vMerge w:val="restart"/>
          </w:tcPr>
          <w:p>
            <w:pPr>
              <w:jc w:val="center"/>
              <w:ind w:left="80"/>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(2)</w:t>
            </w:r>
          </w:p>
        </w:tc>
        <w:tc>
          <w:tcPr>
            <w:tcW w:w="480" w:type="dxa"/>
            <w:vAlign w:val="bottom"/>
          </w:tcPr>
          <w:p>
            <w:pPr>
              <w:spacing w:after="0"/>
              <w:rPr>
                <w:sz w:val="21"/>
                <w:szCs w:val="21"/>
                <w:color w:val="auto"/>
              </w:rPr>
            </w:pPr>
          </w:p>
        </w:tc>
        <w:tc>
          <w:tcPr>
            <w:tcW w:w="920" w:type="dxa"/>
            <w:vAlign w:val="bottom"/>
            <w:vMerge w:val="restart"/>
          </w:tcPr>
          <w:p>
            <w:pPr>
              <w:jc w:val="right"/>
              <w:ind w:right="131"/>
              <w:spacing w:after="0"/>
              <w:rPr>
                <w:sz w:val="20"/>
                <w:szCs w:val="20"/>
                <w:color w:val="auto"/>
              </w:rPr>
            </w:pPr>
            <w:r>
              <w:rPr>
                <w:rFonts w:ascii="Times New Roman" w:cs="Times New Roman" w:eastAsia="Times New Roman" w:hAnsi="Times New Roman"/>
                <w:sz w:val="17"/>
                <w:szCs w:val="17"/>
                <w:color w:val="0000FF"/>
              </w:rPr>
              <w:t>351,607</w:t>
            </w: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right"/>
              <w:ind w:right="97"/>
              <w:spacing w:after="0"/>
              <w:rPr>
                <w:sz w:val="20"/>
                <w:szCs w:val="20"/>
                <w:color w:val="auto"/>
              </w:rPr>
            </w:pPr>
            <w:r>
              <w:rPr>
                <w:rFonts w:ascii="Times New Roman" w:cs="Times New Roman" w:eastAsia="Times New Roman" w:hAnsi="Times New Roman"/>
                <w:sz w:val="11"/>
                <w:szCs w:val="11"/>
                <w:color w:val="008000"/>
              </w:rPr>
              <w:t>(2)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6,123,500</w:t>
            </w:r>
          </w:p>
        </w:tc>
        <w:tc>
          <w:tcPr>
            <w:tcW w:w="360" w:type="dxa"/>
            <w:vAlign w:val="bottom"/>
          </w:tcPr>
          <w:p>
            <w:pPr>
              <w:spacing w:after="0"/>
              <w:rPr>
                <w:sz w:val="21"/>
                <w:szCs w:val="21"/>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360" w:type="dxa"/>
            <w:vAlign w:val="bottom"/>
            <w:gridSpan w:val="19"/>
          </w:tcPr>
          <w:p>
            <w:pPr>
              <w:ind w:left="5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00" w:type="dxa"/>
            <w:vAlign w:val="bottom"/>
            <w:gridSpan w:val="14"/>
          </w:tcPr>
          <w:p>
            <w:pPr>
              <w:ind w:left="3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8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7"/>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Rubric Capital Management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155 EAST 44TH ST, SUITE 1630</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10017</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3"/>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8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Rosen David Efraim</w:t>
              </w:r>
            </w:hyperlink>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155 EAST 44TH ST, SUITE 1630</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10017</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0" w:type="dxa"/>
            <w:vAlign w:val="bottom"/>
          </w:tcPr>
          <w:p>
            <w:pPr>
              <w:spacing w:after="0"/>
              <w:rPr>
                <w:sz w:val="24"/>
                <w:szCs w:val="24"/>
                <w:color w:val="auto"/>
              </w:rPr>
            </w:pPr>
          </w:p>
        </w:tc>
        <w:tc>
          <w:tcPr>
            <w:tcW w:w="98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94" w:orient="portrait"/>
          <w:cols w:equalWidth="0" w:num="1">
            <w:col w:w="11080"/>
          </w:cols>
          <w:pgMar w:left="460" w:top="219" w:right="359" w:bottom="0" w:gutter="0" w:footer="0" w:header="0"/>
          <w:type w:val="continuous"/>
        </w:sectPr>
      </w:pPr>
    </w:p>
    <w:bookmarkStart w:id="1" w:name="page2"/>
    <w:bookmarkEnd w:id="1"/>
    <w:p>
      <w:pPr>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filed by Rubric Capital Management LP ("Rubric Capital") and Mr. David Rosen, with respect to the securities held by certain funds and/or accounts (collectively, the "Rubric Vehicles"). Rubric Capital serves as the investment adviser to the Rubric Vehicles. Mr. David Rosen serves as the Managing Member of Rubric Capital Management GP, LLC, the general partner of Rubric Capital. The filing of this statement shall not be deemed an admission that any Reporting Person is the beneficial owner of the securities reported herein for purposes of Section 16 of the Securities Act of 1934, as amended, or otherwise. Each Reporting Person expressly disclaims beneficial ownership of the securities reported herein except to the extent of its or his pecuniary interest therein.</w:t>
      </w:r>
    </w:p>
    <w:p>
      <w:pPr>
        <w:spacing w:after="0" w:line="24"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a pro-rata in-kind distribution to limited partners for no consideration.</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Rubric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LP, By: /s/ Michael Nachmani, 12/16/2024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its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61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8618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Rosen</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12/16/2024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6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13" Type="http://schemas.openxmlformats.org/officeDocument/2006/relationships/hyperlink" Target="http://www.sec.gov/cgi-bin/browse-edgar?action=getcompany&amp;CIK=0001687509" TargetMode="External"/><Relationship Id="rId14" Type="http://schemas.openxmlformats.org/officeDocument/2006/relationships/hyperlink" Target="http://www.sec.gov/cgi-bin/browse-edgar?action=getcompany&amp;CIK=0001622536" TargetMode="External"/><Relationship Id="rId16" Type="http://schemas.openxmlformats.org/officeDocument/2006/relationships/hyperlink" Target="http://www.sec.gov/cgi-bin/browse-edgar?action=getcompany&amp;CIK=00018986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2024-12-16T15:09:57Z</dcterms:created>
  <dcterms:modified xsi:type="dcterms:W3CDTF">2024-12-16T15:09:57Z</dcterms:modified>
</cp:coreProperties>
</file>