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4"/>
          <w:szCs w:val="24"/>
          <w:color w:val="auto"/>
        </w:rPr>
      </w:pPr>
    </w:p>
    <w:p>
      <w:pPr>
        <w:spacing w:after="0" w:line="286" w:lineRule="exact"/>
        <w:rPr>
          <w:sz w:val="24"/>
          <w:szCs w:val="24"/>
          <w:color w:val="auto"/>
        </w:rPr>
      </w:pPr>
    </w:p>
    <w:p>
      <w:pPr>
        <w:jc w:val="center"/>
        <w:spacing w:after="0" w:line="284" w:lineRule="auto"/>
        <w:rPr>
          <w:sz w:val="20"/>
          <w:szCs w:val="20"/>
          <w:color w:val="auto"/>
        </w:rPr>
      </w:pPr>
      <w:r>
        <w:rPr>
          <w:rFonts w:ascii="Times New Roman" w:cs="Times New Roman" w:eastAsia="Times New Roman" w:hAnsi="Times New Roman"/>
          <w:sz w:val="17"/>
          <w:szCs w:val="17"/>
          <w:b w:val="1"/>
          <w:bCs w:val="1"/>
          <w:color w:val="auto"/>
        </w:rPr>
        <w:t>As confidentially submitted to the Securities and Exchange Commission on June 4, 2024. This draft registration statement has not been publicly filed with the Securities and Exchange Commission and all information herein remains strictly confidential.</w:t>
      </w:r>
    </w:p>
    <w:p>
      <w:pPr>
        <w:spacing w:after="0" w:line="179"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7"/>
          <w:szCs w:val="17"/>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1"/>
          <w:szCs w:val="21"/>
          <w:color w:val="auto"/>
        </w:rPr>
        <w:t>Confidential Draft Submission No. 7</w:t>
      </w:r>
    </w:p>
    <w:p>
      <w:pPr>
        <w:spacing w:after="0" w:line="29"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1"/>
          <w:szCs w:val="21"/>
          <w:color w:val="auto"/>
        </w:rPr>
        <w:t>FORM S-1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REGISTRATION STATEMENT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Talen Energy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4911</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47-1197305</w:t>
            </w:r>
          </w:p>
        </w:tc>
      </w:tr>
      <w:tr>
        <w:trPr>
          <w:trHeight w:val="167"/>
        </w:trPr>
        <w:tc>
          <w:tcPr>
            <w:tcW w:w="36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(Primary Standard Industrial Classification Code</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(I.R.S. Employer Identification</w:t>
            </w:r>
          </w:p>
        </w:tc>
      </w:tr>
      <w:tr>
        <w:trPr>
          <w:trHeight w:val="222"/>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organization)</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“Mac” A. McFarland, Chief Executive Officer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Talen Energy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tbl>
      <w:tblPr>
        <w:tblLayout w:type="fixed"/>
        <w:tblInd w:w="192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Copies to:</w:t>
            </w:r>
          </w:p>
        </w:tc>
      </w:tr>
      <w:tr>
        <w:trPr>
          <w:trHeight w:val="192"/>
        </w:trPr>
        <w:tc>
          <w:tcPr>
            <w:tcW w:w="2580" w:type="dxa"/>
            <w:vAlign w:val="bottom"/>
          </w:tcPr>
          <w:p>
            <w:pPr>
              <w:jc w:val="center"/>
              <w:ind w:right="715"/>
              <w:spacing w:after="0" w:line="192" w:lineRule="exact"/>
              <w:rPr>
                <w:sz w:val="20"/>
                <w:szCs w:val="20"/>
                <w:color w:val="auto"/>
              </w:rPr>
            </w:pPr>
            <w:r>
              <w:rPr>
                <w:rFonts w:ascii="Times New Roman" w:cs="Times New Roman" w:eastAsia="Times New Roman" w:hAnsi="Times New Roman"/>
                <w:sz w:val="17"/>
                <w:szCs w:val="17"/>
                <w:b w:val="1"/>
                <w:bCs w:val="1"/>
                <w:color w:val="auto"/>
                <w:w w:val="98"/>
              </w:rPr>
              <w:t>Matthew R. Pacey, P.C.</w:t>
            </w:r>
          </w:p>
        </w:tc>
        <w:tc>
          <w:tcPr>
            <w:tcW w:w="4960" w:type="dxa"/>
            <w:vAlign w:val="bottom"/>
          </w:tcPr>
          <w:p>
            <w:pPr>
              <w:jc w:val="center"/>
              <w:ind w:left="2835"/>
              <w:spacing w:after="0" w:line="192" w:lineRule="exact"/>
              <w:rPr>
                <w:sz w:val="20"/>
                <w:szCs w:val="20"/>
                <w:color w:val="auto"/>
              </w:rPr>
            </w:pPr>
            <w:r>
              <w:rPr>
                <w:rFonts w:ascii="Times New Roman" w:cs="Times New Roman" w:eastAsia="Times New Roman" w:hAnsi="Times New Roman"/>
                <w:sz w:val="17"/>
                <w:szCs w:val="17"/>
                <w:b w:val="1"/>
                <w:bCs w:val="1"/>
                <w:color w:val="auto"/>
                <w:w w:val="99"/>
              </w:rPr>
              <w:t>John C. Wander</w:t>
            </w:r>
          </w:p>
        </w:tc>
      </w:tr>
      <w:tr>
        <w:trPr>
          <w:trHeight w:val="174"/>
        </w:trPr>
        <w:tc>
          <w:tcPr>
            <w:tcW w:w="2580" w:type="dxa"/>
            <w:vAlign w:val="bottom"/>
          </w:tcPr>
          <w:p>
            <w:pPr>
              <w:jc w:val="center"/>
              <w:ind w:right="715"/>
              <w:spacing w:after="0" w:line="174" w:lineRule="exact"/>
              <w:rPr>
                <w:sz w:val="20"/>
                <w:szCs w:val="20"/>
                <w:color w:val="auto"/>
              </w:rPr>
            </w:pPr>
            <w:r>
              <w:rPr>
                <w:rFonts w:ascii="Times New Roman" w:cs="Times New Roman" w:eastAsia="Times New Roman" w:hAnsi="Times New Roman"/>
                <w:sz w:val="17"/>
                <w:szCs w:val="17"/>
                <w:b w:val="1"/>
                <w:bCs w:val="1"/>
                <w:color w:val="auto"/>
                <w:w w:val="98"/>
              </w:rPr>
              <w:t>Michael W. Rigdon, P.C.</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Rebekah D. Reneau</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rPr>
              <w:t>Anthony L. Sanderson</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rPr>
              <w:t>Talen Energy Corporation</w:t>
            </w:r>
          </w:p>
        </w:tc>
      </w:tr>
      <w:tr>
        <w:trPr>
          <w:trHeight w:val="175"/>
        </w:trPr>
        <w:tc>
          <w:tcPr>
            <w:tcW w:w="2580" w:type="dxa"/>
            <w:vAlign w:val="bottom"/>
          </w:tcPr>
          <w:p>
            <w:pPr>
              <w:jc w:val="center"/>
              <w:ind w:right="695"/>
              <w:spacing w:after="0" w:line="176" w:lineRule="exact"/>
              <w:rPr>
                <w:sz w:val="20"/>
                <w:szCs w:val="20"/>
                <w:color w:val="auto"/>
              </w:rPr>
            </w:pPr>
            <w:r>
              <w:rPr>
                <w:rFonts w:ascii="Times New Roman" w:cs="Times New Roman" w:eastAsia="Times New Roman" w:hAnsi="Times New Roman"/>
                <w:sz w:val="17"/>
                <w:szCs w:val="17"/>
                <w:b w:val="1"/>
                <w:bCs w:val="1"/>
                <w:color w:val="auto"/>
              </w:rPr>
              <w:t>Kirkland &amp; Ellis LLP</w:t>
            </w:r>
          </w:p>
        </w:tc>
        <w:tc>
          <w:tcPr>
            <w:tcW w:w="4960" w:type="dxa"/>
            <w:vAlign w:val="bottom"/>
          </w:tcPr>
          <w:p>
            <w:pPr>
              <w:jc w:val="center"/>
              <w:ind w:left="2815"/>
              <w:spacing w:after="0" w:line="176" w:lineRule="exact"/>
              <w:rPr>
                <w:sz w:val="20"/>
                <w:szCs w:val="20"/>
                <w:color w:val="auto"/>
              </w:rPr>
            </w:pPr>
            <w:r>
              <w:rPr>
                <w:rFonts w:ascii="Times New Roman" w:cs="Times New Roman" w:eastAsia="Times New Roman" w:hAnsi="Times New Roman"/>
                <w:sz w:val="17"/>
                <w:szCs w:val="17"/>
                <w:b w:val="1"/>
                <w:bCs w:val="1"/>
                <w:color w:val="auto"/>
              </w:rPr>
              <w:t>2929 Allen Pkwy, Suite 2200</w:t>
            </w:r>
          </w:p>
        </w:tc>
      </w:tr>
      <w:tr>
        <w:trPr>
          <w:trHeight w:val="174"/>
        </w:trPr>
        <w:tc>
          <w:tcPr>
            <w:tcW w:w="2580" w:type="dxa"/>
            <w:vAlign w:val="bottom"/>
          </w:tcPr>
          <w:p>
            <w:pPr>
              <w:jc w:val="center"/>
              <w:ind w:right="695"/>
              <w:spacing w:after="0" w:line="174" w:lineRule="exact"/>
              <w:rPr>
                <w:sz w:val="20"/>
                <w:szCs w:val="20"/>
                <w:color w:val="auto"/>
              </w:rPr>
            </w:pPr>
            <w:r>
              <w:rPr>
                <w:rFonts w:ascii="Times New Roman" w:cs="Times New Roman" w:eastAsia="Times New Roman" w:hAnsi="Times New Roman"/>
                <w:sz w:val="17"/>
                <w:szCs w:val="17"/>
                <w:b w:val="1"/>
                <w:bCs w:val="1"/>
                <w:color w:val="auto"/>
                <w:w w:val="99"/>
              </w:rPr>
              <w:t>609 Main Street</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Houston, TX 77019</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w w:val="99"/>
              </w:rPr>
              <w:t>Houston, TX 77002</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w w:val="99"/>
              </w:rPr>
              <w:t>(888) 211-6011</w:t>
            </w:r>
          </w:p>
        </w:tc>
      </w:tr>
      <w:tr>
        <w:trPr>
          <w:trHeight w:val="226"/>
        </w:trPr>
        <w:tc>
          <w:tcPr>
            <w:tcW w:w="2580" w:type="dxa"/>
            <w:vAlign w:val="bottom"/>
          </w:tcPr>
          <w:p>
            <w:pPr>
              <w:jc w:val="center"/>
              <w:ind w:right="715"/>
              <w:spacing w:after="0"/>
              <w:rPr>
                <w:sz w:val="20"/>
                <w:szCs w:val="20"/>
                <w:color w:val="auto"/>
              </w:rPr>
            </w:pPr>
            <w:r>
              <w:rPr>
                <w:rFonts w:ascii="Times New Roman" w:cs="Times New Roman" w:eastAsia="Times New Roman" w:hAnsi="Times New Roman"/>
                <w:sz w:val="17"/>
                <w:szCs w:val="17"/>
                <w:b w:val="1"/>
                <w:bCs w:val="1"/>
                <w:color w:val="auto"/>
                <w:w w:val="99"/>
              </w:rPr>
              <w:t>(713) 836-3600</w:t>
            </w:r>
          </w:p>
        </w:tc>
        <w:tc>
          <w:tcPr>
            <w:tcW w:w="49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is declared effective.</w:t>
      </w:r>
    </w:p>
    <w:p>
      <w:pPr>
        <w:spacing w:after="0" w:line="52"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right="4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18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None of the Selling Stockholders of our common stock may sell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117" w:lineRule="exact"/>
        <w:rPr>
          <w:sz w:val="20"/>
          <w:szCs w:val="20"/>
          <w:color w:val="auto"/>
        </w:rPr>
      </w:pPr>
    </w:p>
    <w:tbl>
      <w:tblPr>
        <w:tblLayout w:type="fixed"/>
        <w:tblInd w:w="390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F1665F"/>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1665F"/>
              </w:rPr>
              <w:t>, 2024.</w:t>
            </w:r>
          </w:p>
        </w:tc>
      </w:tr>
    </w:tbl>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TALEN ENERGY CORPORATION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50,817,328 Shares of Common Stock</w:t>
      </w:r>
    </w:p>
    <w:p>
      <w:pPr>
        <w:spacing w:after="0" w:line="20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up to 50,817,328 shares of our common stock, par value $0.001 per share (our “common stock”), which may be offered for resale from time to time by the stockholders named under the heading “Principal and Selling Stockholders” (the “Selling Stockholders”). The shares of our common stock offered under this prospectus may be resold by the Selling Stockholders at fixed prices, prevailing market prices at the times of sale, prices related to such prevailing market prices, varying prices determined at the times of sale or negotiated prices, and, accordingly, we cannot determine the price or prices at which shares of our common stock may be resold. The shares of our common stock offered by this prospectus and any prospectus supplement may be resold by the Selling Stockholders directly to investors or to or through underwriters, dealers or other agents, as described in more detail in this prospectus. We do not know if, when or in what amounts a Selling Stockholder may offer shares of our common stock for resale. The Selling Stockholders may resell all, some or none of the shares of our common stock covered by this prospectus in one or multiple transactions. For more information, see the section titled “Plan of Distribution.”</w:t>
      </w:r>
    </w:p>
    <w:p>
      <w:pPr>
        <w:spacing w:after="0" w:line="1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Stockholders, but we have agreed to pay certain registration expenses.</w:t>
      </w:r>
    </w:p>
    <w:p>
      <w:pPr>
        <w:spacing w:after="0" w:line="10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quoted on the OTCQX U.S. Market under the symbol “TLNE.” On , the closing sales price of our common stock as reported on the OTCQX U.S. Market was $ per share. We intend to apply to list our common stock on the Nasdaq Global Select Market (“Nasdaq”)</w:t>
      </w:r>
    </w:p>
    <w:p>
      <w:pPr>
        <w:spacing w:after="0"/>
        <w:tabs>
          <w:tab w:leader="none" w:pos="7460" w:val="left"/>
        </w:tabs>
        <w:rPr>
          <w:sz w:val="20"/>
          <w:szCs w:val="20"/>
          <w:color w:val="auto"/>
        </w:rPr>
      </w:pPr>
      <w:r>
        <w:rPr>
          <w:rFonts w:ascii="Times New Roman" w:cs="Times New Roman" w:eastAsia="Times New Roman" w:hAnsi="Times New Roman"/>
          <w:sz w:val="18"/>
          <w:szCs w:val="18"/>
          <w:color w:val="auto"/>
        </w:rPr>
        <w:t>under the symbol “TLN.” We expect our common stock to begin trading on Nasdaq on or about</w:t>
      </w:r>
      <w:r>
        <w:rPr>
          <w:sz w:val="20"/>
          <w:szCs w:val="20"/>
          <w:color w:val="auto"/>
        </w:rPr>
        <w:tab/>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See the section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18</w:t>
      </w:r>
      <w:r>
        <w:rPr>
          <w:rFonts w:ascii="Times New Roman" w:cs="Times New Roman" w:eastAsia="Times New Roman" w:hAnsi="Times New Roman"/>
          <w:sz w:val="18"/>
          <w:szCs w:val="18"/>
          <w:i w:val="1"/>
          <w:iCs w:val="1"/>
          <w:color w:val="auto"/>
        </w:rPr>
        <w:t xml:space="preserve"> to read about factors you should carefully consider before buying shares of our common stock.</w:t>
      </w:r>
    </w:p>
    <w:p>
      <w:pPr>
        <w:spacing w:after="0" w:line="102"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tbl>
      <w:tblPr>
        <w:tblLayout w:type="fixed"/>
        <w:tblInd w:w="44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Prospectus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ectPr>
          <w:pgSz w:w="11900" w:h="16838" w:orient="portrait"/>
          <w:cols w:equalWidth="0" w:num="1">
            <w:col w:w="11220"/>
          </w:cols>
          <w:pgMar w:left="320" w:top="121"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10"/>
            <w:vMerge w:val="continue"/>
          </w:tcPr>
          <w:p>
            <w:pPr>
              <w:spacing w:after="0"/>
              <w:rPr>
                <w:sz w:val="15"/>
                <w:szCs w:val="15"/>
                <w:color w:val="auto"/>
              </w:rPr>
            </w:pPr>
          </w:p>
        </w:tc>
        <w:tc>
          <w:tcPr>
            <w:tcW w:w="812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4"/>
          </w:tcPr>
          <w:p>
            <w:pPr>
              <w:spacing w:after="0"/>
              <w:rPr>
                <w:sz w:val="18"/>
                <w:szCs w:val="18"/>
                <w:color w:val="auto"/>
              </w:rPr>
            </w:pPr>
          </w:p>
        </w:tc>
        <w:tc>
          <w:tcPr>
            <w:tcW w:w="50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CONDENSED CONSOLIDATED FINANCIAL INFORMATION</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tcBorders>
              <w:top w:val="single" w:sz="8" w:color="0000FF"/>
            </w:tcBorders>
            <w:gridSpan w:val="18"/>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PRICES AND DIVIDEND POLICY</w:t>
            </w:r>
          </w:p>
        </w:tc>
        <w:tc>
          <w:tcPr>
            <w:tcW w:w="688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8880" w:type="dxa"/>
            <w:vAlign w:val="bottom"/>
            <w:gridSpan w:val="16"/>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CONSOLIDATED FINANCIAL INFORMATION</w:t>
            </w:r>
          </w:p>
        </w:tc>
        <w:tc>
          <w:tcPr>
            <w:tcW w:w="33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81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3"/>
          </w:tcPr>
          <w:p>
            <w:pPr>
              <w:spacing w:after="0"/>
              <w:rPr>
                <w:sz w:val="18"/>
                <w:szCs w:val="18"/>
                <w:color w:val="auto"/>
              </w:rPr>
            </w:pPr>
          </w:p>
        </w:tc>
        <w:tc>
          <w:tcPr>
            <w:tcW w:w="6760" w:type="dxa"/>
            <w:vAlign w:val="bottom"/>
            <w:gridSpan w:val="8"/>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88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4"/>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40" w:type="dxa"/>
            <w:vAlign w:val="bottom"/>
            <w:gridSpan w:val="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9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G-1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(the “SEC”), using a “shelf” registration or continuous offering process. Under this shelf process, the Selling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(except that any such additions, updates, or other changes to the section titled “Plan of Distribution” shall only be made pursuant to a post-effective amendment to the extent they are material). You may obtain this information without charge by following the instructions under the section titled “Where You Can Find Additional Information” appearing elsewhere in this prospectus. You should read carefully this prospectus and any prospectus supplement before deciding to invest in our common stock.</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Selling Stockholders may only offer to resell, and seek offers to buy, shares of our common stock in jurisdictions where offers and sales are permitted. You should rely only on the information contained in this prospectus and any accompanying prospectus supplement. Neither we, nor the Selling Stockholders, have authorized anyone to provide you with information other than that contained in this prospectus or any accompanying prospectus supplement, and if other information is provided to you, then you should not rely on it. Neither we, nor the Selling Stockholders, take any responsibility for, and can provide no assurance as to the accuracy or completeness of, any information that others may give you. Neither we, nor the Selling Stockholders, have authorized any other person to provide you with different or additional information. The information contained in this prospectus speaks only as of the date of this prospectus, regardless of the time of delivery of this prospectus or any sale of shares of our common stock hereunder. Our business, financial condition, cash flows, results of operations and prospects may have changed since the date on the front cover of this prospectus.</w:t>
      </w:r>
    </w:p>
    <w:p>
      <w:pPr>
        <w:spacing w:after="0" w:line="138" w:lineRule="exact"/>
        <w:rPr>
          <w:sz w:val="20"/>
          <w:szCs w:val="20"/>
          <w:color w:val="auto"/>
        </w:rPr>
      </w:pPr>
    </w:p>
    <w:p>
      <w:pPr>
        <w:ind w:right="11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Neither we nor the Selling Stockholders are making an offer to sell the shares in any jurisdiction where the offer or sale is not permitted. </w:t>
      </w:r>
      <w:r>
        <w:rPr>
          <w:rFonts w:ascii="Times New Roman" w:cs="Times New Roman" w:eastAsia="Times New Roman" w:hAnsi="Times New Roman"/>
          <w:sz w:val="18"/>
          <w:szCs w:val="18"/>
          <w:b w:val="1"/>
          <w:bCs w:val="1"/>
          <w:color w:val="auto"/>
        </w:rPr>
        <w:t>Basis of Presentation</w:t>
      </w:r>
    </w:p>
    <w:p>
      <w:pPr>
        <w:spacing w:after="0" w:line="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As used in this prospectus, and as further described below,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TES and its consolidated subsidiaries (which does not include TEC), unless the context clearly indicates otherwise.</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May 9, 2022, TES and 71 of its subsidiaries each filed a voluntary petition for relief (the “Restructuring”) under Chapter 11 of the Bankruptcy Code (the “Bankruptcy Code”) in the United States Bankruptcy Court for the Southern District of Texas (Houston Division) (the “Bankruptcy Court”). While TEC’s management continued to operate TES and the other initial Debtors as debtors-in-possession during the pendency of the Restructuring, the activities that most significantly impacted TES’s and the other initial Debtors’ economic performance during this time required approval of the Bankruptcy Court. Accordingly, TEC deconsolidated TES for financial reporting purposes because TEC no longer controlled the activities of TES.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December 12, 2022, TEC filed a petition to become a debtor in the Restructuring in order to facilitate the implementation of certain restructuring transactions contemplated under the Plan of Reorganization in the Restructuring (the “Plan of Reorganization”) and the Bankruptcy Court approved the joint administration of TEC’s voluntary petition for relief under Chapter 11 of the Bankruptcy Code with TES and the other initial Debtors. On December 20, 2022, the Bankruptcy Court confirmed the Plan of Reorganization.</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Plan of Reorganization became effective and we emerged from the Restructuring (“Emergence”). Upon Emergence, TEC regained control of TES through a business combination that resulted in TEC again consolidating TES. The business combination was accounted for as a reverse acquisition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transaction’s economic substance, in which certain creditors of TES effectively equitized their claims against TES into the controlling equity interests of TES, which were then exchanged for the controlling equity interests of TEC.</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Accordingly, the financial statements included elsewhere in this prospectus are issued under the name of TEC, the legal parent of TES and accounting acquiree, but represent the continuation of the financial statements of TES, the accounting acquirer. As a result, the consolidated financial statements of TEC after Emergence are not comparable to its consolidated financial statements prior to that date and have been presented with a black line division to delineate the lack of comparability between the Predecessor and Successor.</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completed the sale of our ERCOT fleet to CPS Energy in May 2024 (the “ERCOT Sale”).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6" w:lineRule="exact"/>
        <w:rPr>
          <w:sz w:val="20"/>
          <w:szCs w:val="20"/>
          <w:color w:val="auto"/>
        </w:rPr>
      </w:pPr>
    </w:p>
    <w:p>
      <w:pPr>
        <w:ind w:right="17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All capitalized terms not defined herein have the meaning provided in the Glossary, unless otherwise expressly set forth herein. </w:t>
      </w:r>
      <w:r>
        <w:rPr>
          <w:rFonts w:ascii="Times New Roman" w:cs="Times New Roman" w:eastAsia="Times New Roman" w:hAnsi="Times New Roman"/>
          <w:sz w:val="18"/>
          <w:szCs w:val="18"/>
          <w:b w:val="1"/>
          <w:bCs w:val="1"/>
          <w:color w:val="auto"/>
        </w:rPr>
        <w:t>Market and Industry Data</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442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“Cautionary Note Regarding Forward-Looking Statements,” “Management’s Discussion and Analysis of Financial Condition and Results of Operations,” and the consolidated financial statements and the related notes included elsewhere in this prospectus, before making an investment decision.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(the “ERCOT Sale”). See “—Recent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(the “Cumulus Data Campus Sale”) to an affiliate of Amazon Web Services, Inc. (together with its affiliates, “AWS”), the infrastructure for a hyperscale data center campus (the “Cumulus Data Campus”) adjacent to our zero-carbon Susquehanna nuclear facility (“Susquehanna”) that will utilize carbon-free, low-cost energy provided directly from the plant, providing both an attractive source of demand for the plant and a new source of incremental revenues for us. See “—Recent Developments—Cumulus Data Campus Sale”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description of Adjusted EBITDA and a reconciliation to the most directly comparable GAAP measure.</w:t>
      </w:r>
    </w:p>
    <w:p>
      <w:pPr>
        <w:spacing w:after="0" w:line="1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agreements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“—Recent Developments—Cumulus Data Campus Sale.” We also believe Susquehanna may further benefit from the nuclear production tax credit under the Inflation Reduction Act of 2022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“behind-the-fence”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20"/>
          </w:cols>
          <w:pgMar w:left="680" w:top="121" w:right="699" w:bottom="1440" w:gutter="0" w:footer="0" w:header="0"/>
        </w:sectPr>
      </w:pPr>
    </w:p>
    <w:bookmarkStart w:id="6" w:name="page7"/>
    <w:bookmarkEnd w:id="6"/>
    <w:p>
      <w:pPr>
        <w:jc w:val="center"/>
        <w:ind w:right="-4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7179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 w:right="80"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1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10"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“Business—Our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30" w:hanging="330"/>
        <w:spacing w:after="0" w:line="262" w:lineRule="auto"/>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September 30 of each year) and will cease by year-end 2028, with the option of earlier coal retirement at the Company’s discretion. </w:t>
      </w: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coal retirement at the Company’s discretion.</w:t>
      </w:r>
    </w:p>
    <w:p>
      <w:pPr>
        <w:spacing w:after="0" w:line="122" w:lineRule="exact"/>
        <w:rPr>
          <w:rFonts w:ascii="Times New Roman" w:cs="Times New Roman" w:eastAsia="Times New Roman" w:hAnsi="Times New Roman"/>
          <w:sz w:val="18"/>
          <w:szCs w:val="18"/>
          <w:i w:val="1"/>
          <w:iCs w:val="1"/>
          <w:color w:val="auto"/>
        </w:rPr>
      </w:pPr>
    </w:p>
    <w:p>
      <w:pPr>
        <w:ind w:left="330" w:hanging="330"/>
        <w:spacing w:after="0" w:line="262" w:lineRule="auto"/>
        <w:tabs>
          <w:tab w:leader="none" w:pos="3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ectPr>
          <w:pgSz w:w="11900" w:h="16838" w:orient="portrait"/>
          <w:cols w:equalWidth="0" w:num="1">
            <w:col w:w="10510"/>
          </w:cols>
          <w:pgMar w:left="670" w:top="12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10"/>
          </w:cols>
          <w:pgMar w:left="670" w:top="121" w:right="719" w:bottom="1440" w:gutter="0" w:footer="0" w:header="0"/>
          <w:type w:val="continuous"/>
        </w:sectPr>
      </w:pPr>
    </w:p>
    <w:bookmarkStart w:id="7" w:name="page8"/>
    <w:bookmarkEnd w:id="7"/>
    <w:p>
      <w:pPr>
        <w:jc w:val="center"/>
        <w:ind w:right="-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655320</wp:posOffset>
            </wp:positionV>
            <wp:extent cx="7136130" cy="7042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nuclear-powered generation facility in the U.S. Susquehanna typically comprises 50% or more of our annual generation.</w:t>
      </w:r>
    </w:p>
    <w:p>
      <w:pPr>
        <w:spacing w:after="0" w:line="105"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8" w:lineRule="exact"/>
        <w:rPr>
          <w:sz w:val="20"/>
          <w:szCs w:val="20"/>
          <w:color w:val="auto"/>
        </w:rPr>
      </w:pPr>
    </w:p>
    <w:p>
      <w:pPr>
        <w:ind w:left="10" w:right="80" w:firstLine="324"/>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left="10"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left="10"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ectPr>
          <w:pgSz w:w="11900" w:h="16838" w:orient="portrait"/>
          <w:cols w:equalWidth="0" w:num="1">
            <w:col w:w="10550"/>
          </w:cols>
          <w:pgMar w:left="670"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50"/>
          </w:cols>
          <w:pgMar w:left="670" w:top="121" w:right="679" w:bottom="144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70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and 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36"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Carbon deleveraging. </w:t>
      </w:r>
      <w:r>
        <w:rPr>
          <w:rFonts w:ascii="Times New Roman" w:cs="Times New Roman" w:eastAsia="Times New Roman" w:hAnsi="Times New Roman"/>
          <w:sz w:val="17"/>
          <w:szCs w:val="17"/>
          <w:color w:val="auto"/>
        </w:rPr>
        <w:t>We have committed to cease burning coal at all of our wholly-owned coal facilities by the end of 2028, either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33"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States. Susquehanna provides multiple paths to cash flow generation and value creation, including through the PJM wholesale and capacity markets. </w:t>
      </w:r>
      <w:r>
        <w:rPr>
          <w:rFonts w:ascii="Times New Roman" w:cs="Times New Roman" w:eastAsia="Times New Roman" w:hAnsi="Times New Roman"/>
          <w:sz w:val="18"/>
          <w:szCs w:val="18"/>
          <w:color w:val="auto"/>
          <w:highlight w:val="white"/>
        </w:rPr>
        <w:t>Historically, we sold our power via a combination of spot sales and hedging transactions.</w:t>
      </w:r>
      <w:r>
        <w:rPr>
          <w:rFonts w:ascii="Times New Roman" w:cs="Times New Roman" w:eastAsia="Times New Roman" w:hAnsi="Times New Roman"/>
          <w:sz w:val="18"/>
          <w:szCs w:val="18"/>
          <w:color w:val="auto"/>
        </w:rPr>
        <w:t xml:space="preserve"> The Cumulus Data Campus now creates additional incremental value for Susquehanna, providing future cash flows through direct sales of power to a highly-rated counterparty at fixed prices under the long-term Cumulus Data Campus PPA. See “—Recent Developments—Cumulus Data Campus Sale” for additional information. </w:t>
      </w:r>
      <w:r>
        <w:rPr>
          <w:rFonts w:ascii="Times New Roman" w:cs="Times New Roman" w:eastAsia="Times New Roman" w:hAnsi="Times New Roman"/>
          <w:sz w:val="18"/>
          <w:szCs w:val="18"/>
          <w:color w:val="auto"/>
          <w:highlight w:val="white"/>
        </w:rPr>
        <w:t>When measured by the operational and safety standards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680" w:top="121" w:right="7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02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nuclear industry, Susquehanna is one of the top performers in the United States. </w:t>
      </w:r>
      <w:r>
        <w:rPr>
          <w:rFonts w:ascii="Times New Roman" w:cs="Times New Roman" w:eastAsia="Times New Roman" w:hAnsi="Times New Roman"/>
          <w:sz w:val="18"/>
          <w:szCs w:val="18"/>
          <w:color w:val="auto"/>
        </w:rPr>
        <w:t>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after their recent 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well-capitalized and strong balance sheet and have no significant debt maturities until 2030. As of March 31, 2024, we had unrestricted cash of approximately $597 million and $544 million of available commitments under our revolving credit facility, resulting in liquidity of approximately $1.1 billion. In addition, we have a $75 million secured bilateral letter of credit facility and a $470 million term loan C letter of credit facility. Our strong balance sheet also provides ample capacity and counterparty appetite for lien-based hedging, which does not require cash collateral posting. Our legacy debt service requirements were significantly reduced as a result of the Restructuring, and we intend to maintain a modest go-forward net leverage ratio of 3.5x or less. We believe these factors provide us with the flexibility to focus on maximizing value through the disciplined operation of our core business.</w:t>
      </w:r>
    </w:p>
    <w:p>
      <w:pPr>
        <w:spacing w:after="0" w:line="131"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Experienced, principled and disciplined leadership team. </w:t>
      </w:r>
      <w:r>
        <w:rPr>
          <w:rFonts w:ascii="Times New Roman" w:cs="Times New Roman" w:eastAsia="Times New Roman" w:hAnsi="Times New Roman"/>
          <w:sz w:val="17"/>
          <w:szCs w:val="17"/>
          <w:color w:val="auto"/>
        </w:rPr>
        <w:t>We benefit significantly from the experience and industry expertise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leadership team. 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680" w:top="121" w:right="6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33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 reconciliation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most directly comparable GAAP measure. </w:t>
      </w:r>
      <w:r>
        <w:rPr>
          <w:rFonts w:ascii="Times New Roman" w:cs="Times New Roman" w:eastAsia="Times New Roman" w:hAnsi="Times New Roman"/>
          <w:sz w:val="18"/>
          <w:szCs w:val="18"/>
          <w:color w:val="auto"/>
        </w:rPr>
        <w:t>Capacity revenue is a key indicator of the important role that nuclear, natural gas and peaking</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21" w:right="6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44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sector 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3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See “—Recent Developments—Upsizing of Share Repurchase Program ” for additional information.</w:t>
      </w:r>
    </w:p>
    <w:p>
      <w:pPr>
        <w:spacing w:after="0" w:line="14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0"/>
          </w:cols>
          <w:pgMar w:left="680" w:top="121" w:right="6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819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Tender Offer</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29, 2024, the Company commenced a modified “Dutch auction” tender offer for shares of its common stock (the “Tender Offer”).</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 Tender Offer expired on June 27, 2024 and resulted in the purchase for cash of shares of its common stock at a clearing price per share of $ , or an aggregate of $ million. The Tender Offer was part of the Company’s Share Repurchase Program.</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 May 29, 2024, TES announced the remarketing of $50,000,000 in aggregate principal amount of its PEDFA 2009B and $80,600,000 million in aggregate principal amount of its PEDFA 2009C Bonds.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Upsizing of Share Repurchase Program</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680" w:top="121" w:right="6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587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240"/>
        <w:spacing w:after="0" w:line="266" w:lineRule="auto"/>
        <w:rPr>
          <w:sz w:val="20"/>
          <w:szCs w:val="20"/>
          <w:color w:val="auto"/>
        </w:rPr>
      </w:pPr>
      <w:r>
        <w:rPr>
          <w:rFonts w:ascii="Times New Roman" w:cs="Times New Roman" w:eastAsia="Times New Roman" w:hAnsi="Times New Roman"/>
          <w:sz w:val="18"/>
          <w:szCs w:val="18"/>
          <w:color w:val="auto"/>
        </w:rPr>
        <w:t>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left="20" w:right="40"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left="20" w:right="80" w:firstLine="324"/>
        <w:spacing w:after="0" w:line="261"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left="20" w:right="20" w:firstLine="324"/>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w:t>
      </w:r>
    </w:p>
    <w:p>
      <w:pPr>
        <w:spacing w:after="0" w:line="5" w:lineRule="exact"/>
        <w:rPr>
          <w:sz w:val="20"/>
          <w:szCs w:val="20"/>
          <w:color w:val="auto"/>
        </w:rPr>
      </w:pPr>
    </w:p>
    <w:p>
      <w:pPr>
        <w:ind w:left="20" w:hanging="10"/>
        <w:spacing w:after="0" w:line="253" w:lineRule="auto"/>
        <w:tabs>
          <w:tab w:leader="none" w:pos="2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133" w:lineRule="exact"/>
        <w:rPr>
          <w:sz w:val="20"/>
          <w:szCs w:val="20"/>
          <w:color w:val="auto"/>
        </w:rPr>
      </w:pPr>
    </w:p>
    <w:p>
      <w:pPr>
        <w:ind w:left="20"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(the “480 MW Case”)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 carbon-free energy (“CFE”) to the grid. The following table shows the value of these agreements, to the extent reasonably estimable, based on the minimum commitments described above through achievement of the 480 MW case.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PTC Reference Price</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Power Sales (MW)</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Incremental EBITDA</w:t>
            </w:r>
          </w:p>
        </w:tc>
        <w:tc>
          <w:tcPr>
            <w:tcW w:w="0" w:type="dxa"/>
            <w:vAlign w:val="bottom"/>
          </w:tcPr>
          <w:p>
            <w:pPr>
              <w:spacing w:after="0"/>
              <w:rPr>
                <w:sz w:val="1"/>
                <w:szCs w:val="1"/>
                <w:color w:val="auto"/>
              </w:rPr>
            </w:pPr>
          </w:p>
        </w:tc>
      </w:tr>
      <w:tr>
        <w:trPr>
          <w:trHeight w:val="203"/>
        </w:trPr>
        <w:tc>
          <w:tcPr>
            <w:tcW w:w="5940" w:type="dxa"/>
            <w:vAlign w:val="bottom"/>
            <w:gridSpan w:val="2"/>
            <w:vMerge w:val="continue"/>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($/MWh) </w:t>
            </w:r>
            <w:r>
              <w:rPr>
                <w:rFonts w:ascii="Times New Roman" w:cs="Times New Roman" w:eastAsia="Times New Roman" w:hAnsi="Times New Roman"/>
                <w:sz w:val="18"/>
                <w:szCs w:val="18"/>
                <w:b w:val="1"/>
                <w:bCs w:val="1"/>
                <w:color w:val="auto"/>
                <w:w w:val="98"/>
                <w:vertAlign w:val="superscript"/>
              </w:rPr>
              <w:t>(1)</w:t>
            </w:r>
          </w:p>
        </w:tc>
        <w:tc>
          <w:tcPr>
            <w:tcW w:w="1560" w:type="dxa"/>
            <w:vAlign w:val="bottom"/>
            <w:gridSpan w:val="2"/>
            <w:vMerge w:val="continue"/>
          </w:tcPr>
          <w:p>
            <w:pPr>
              <w:spacing w:after="0"/>
              <w:rPr>
                <w:sz w:val="17"/>
                <w:szCs w:val="17"/>
                <w:color w:val="auto"/>
              </w:rPr>
            </w:pPr>
          </w:p>
        </w:tc>
        <w:tc>
          <w:tcPr>
            <w:tcW w:w="1460" w:type="dxa"/>
            <w:vAlign w:val="bottom"/>
          </w:tcPr>
          <w:p>
            <w:pPr>
              <w:jc w:val="right"/>
              <w:ind w:right="15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($mm/year) </w:t>
            </w:r>
            <w:r>
              <w:rPr>
                <w:rFonts w:ascii="Times New Roman" w:cs="Times New Roman" w:eastAsia="Times New Roman" w:hAnsi="Times New Roman"/>
                <w:sz w:val="18"/>
                <w:szCs w:val="18"/>
                <w:b w:val="1"/>
                <w:bCs w:val="1"/>
                <w:color w:val="auto"/>
                <w:vertAlign w:val="superscript"/>
              </w:rPr>
              <w:t>(2)(3)</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660" w:top="121" w:right="6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793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jc w:val="right"/>
              <w:ind w:right="3270"/>
              <w:spacing w:after="0"/>
              <w:rPr>
                <w:sz w:val="20"/>
                <w:szCs w:val="20"/>
                <w:color w:val="auto"/>
              </w:rPr>
            </w:pPr>
            <w:r>
              <w:rPr>
                <w:rFonts w:ascii="Times New Roman" w:cs="Times New Roman" w:eastAsia="Times New Roman" w:hAnsi="Times New Roman"/>
                <w:sz w:val="18"/>
                <w:szCs w:val="18"/>
                <w:color w:val="auto"/>
                <w:w w:val="99"/>
              </w:rPr>
              <w:t>2027</w:t>
            </w:r>
          </w:p>
        </w:tc>
        <w:tc>
          <w:tcPr>
            <w:tcW w:w="4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r>
      <w:tr>
        <w:trPr>
          <w:trHeight w:val="229"/>
        </w:trPr>
        <w:tc>
          <w:tcPr>
            <w:tcW w:w="3740" w:type="dxa"/>
            <w:vAlign w:val="bottom"/>
            <w:shd w:val="clear" w:color="auto" w:fill="CCEEFF"/>
          </w:tcPr>
          <w:p>
            <w:pPr>
              <w:jc w:val="right"/>
              <w:ind w:right="3270"/>
              <w:spacing w:after="0"/>
              <w:rPr>
                <w:sz w:val="20"/>
                <w:szCs w:val="20"/>
                <w:color w:val="auto"/>
              </w:rPr>
            </w:pPr>
            <w:r>
              <w:rPr>
                <w:rFonts w:ascii="Times New Roman" w:cs="Times New Roman" w:eastAsia="Times New Roman" w:hAnsi="Times New Roman"/>
                <w:sz w:val="18"/>
                <w:szCs w:val="18"/>
                <w:color w:val="auto"/>
                <w:w w:val="99"/>
              </w:rPr>
              <w:t>2028</w:t>
            </w:r>
          </w:p>
        </w:tc>
        <w:tc>
          <w:tcPr>
            <w:tcW w:w="4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0" w:hanging="330"/>
        <w:spacing w:after="0" w:line="254"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“PTC Reference Price” represents the max price of the Nuclear PTC floor (assuming 2% annual inflation). Provided for illustrative purposes only; not Company projections.</w:t>
      </w:r>
    </w:p>
    <w:p>
      <w:pPr>
        <w:ind w:left="340" w:right="760" w:hanging="330"/>
        <w:spacing w:after="0" w:line="259"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impact based on comparison of (1) Susquehanna revenues including AWS power sales and additional revenue from AWS related to sales of CFE vs. (2) Susquehanna revenues without AWS agreements, using the price floor set by the “PTC Reference Price.” Rounded to nearest $5mm.</w:t>
      </w:r>
    </w:p>
    <w:p>
      <w:pPr>
        <w:ind w:left="340" w:right="180" w:hanging="330"/>
        <w:spacing w:after="0" w:line="27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outcomes reflected here are based on various offtake outcomes and are subject to confidential contractual provisions that may affect actual outcomes in either direction; EBITDA range bounded by minimum contractual payments not dependent on executed power purchases and payments for full consumption of power commitments under the 480 MW Case; outcomes may also be impacted by IRS guidance regarding the nuclear PTC. See “Cautionary Note Regarding Forward Looking Statements.”</w:t>
      </w:r>
    </w:p>
    <w:p>
      <w:pPr>
        <w:spacing w:after="0" w:line="119" w:lineRule="exact"/>
        <w:rPr>
          <w:sz w:val="20"/>
          <w:szCs w:val="20"/>
          <w:color w:val="auto"/>
        </w:rPr>
      </w:pPr>
    </w:p>
    <w:p>
      <w:pPr>
        <w:ind w:left="20" w:right="120" w:firstLine="324"/>
        <w:spacing w:after="0" w:line="261" w:lineRule="auto"/>
        <w:rPr>
          <w:sz w:val="20"/>
          <w:szCs w:val="20"/>
          <w:color w:val="auto"/>
        </w:rPr>
      </w:pPr>
      <w:r>
        <w:rPr>
          <w:rFonts w:ascii="Times New Roman" w:cs="Times New Roman" w:eastAsia="Times New Roman" w:hAnsi="Times New Roman"/>
          <w:sz w:val="18"/>
          <w:szCs w:val="18"/>
          <w:color w:val="auto"/>
        </w:rPr>
        <w:t>Also 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left="20" w:right="6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left="20" w:right="10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Transactions—Riverstone Warrant Cancellation” and Note 16 in Notes to the Annual Financial Statements for additional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Emergence</w:t>
      </w:r>
    </w:p>
    <w:p>
      <w:pPr>
        <w:spacing w:after="0" w:line="175" w:lineRule="exact"/>
        <w:rPr>
          <w:sz w:val="20"/>
          <w:szCs w:val="20"/>
          <w:color w:val="auto"/>
        </w:rPr>
      </w:pPr>
    </w:p>
    <w:p>
      <w:pPr>
        <w:ind w:left="20" w:right="100" w:firstLine="324"/>
        <w:spacing w:after="0" w:line="254" w:lineRule="auto"/>
        <w:rPr>
          <w:sz w:val="20"/>
          <w:szCs w:val="20"/>
          <w:color w:val="auto"/>
        </w:rPr>
      </w:pPr>
      <w:r>
        <w:rPr>
          <w:rFonts w:ascii="Times New Roman" w:cs="Times New Roman" w:eastAsia="Times New Roman" w:hAnsi="Times New Roman"/>
          <w:sz w:val="18"/>
          <w:szCs w:val="18"/>
          <w:color w:val="auto"/>
        </w:rPr>
        <w:t>On May 9, 2022, TES and 71 of its subsidiaries commenced the Restructuring, and in December 2022, TEC joined the Restructuring to facilitate the transactions contemplated by the Plan of Reorganization. In December 2022, the Bankruptcy Court confirmed the Plan of Reorganization that implemented, among other things, the settlement of certain claims and commitments of TES’s debt holders and certain other of its obligations and the Exit Financings, which provided for the infusion of $1.4 billion of new equity capital into our business pursuant to the Rights Offering, the issuance of $1.2 billion aggregate principal amount of the Secured Notes and our entry into the Credit Facilities, which included: (i) $700 million in revolving commitments and $475 million in LC commitments under the RCF, (ii) $1.05 billion in commitments under the Term Loans, $470 million of which is used to cash collateralize trade and standby LCs, and (iii) $75 million in commitments under the Bilateral LCF to support the issuance of standby LCs.</w:t>
      </w:r>
    </w:p>
    <w:p>
      <w:pPr>
        <w:spacing w:after="0" w:line="138" w:lineRule="exact"/>
        <w:rPr>
          <w:sz w:val="20"/>
          <w:szCs w:val="20"/>
          <w:color w:val="auto"/>
        </w:rPr>
      </w:pPr>
    </w:p>
    <w:p>
      <w:pPr>
        <w:ind w:left="20" w:right="20" w:firstLine="324"/>
        <w:spacing w:after="0" w:line="256" w:lineRule="auto"/>
        <w:rPr>
          <w:sz w:val="20"/>
          <w:szCs w:val="20"/>
          <w:color w:val="auto"/>
        </w:rPr>
      </w:pPr>
      <w:r>
        <w:rPr>
          <w:rFonts w:ascii="Times New Roman" w:cs="Times New Roman" w:eastAsia="Times New Roman" w:hAnsi="Times New Roman"/>
          <w:sz w:val="18"/>
          <w:szCs w:val="18"/>
          <w:color w:val="auto"/>
        </w:rPr>
        <w:t>On May 17, 2023, upon receipt of applicable regulatory approvals and the consummation of the Exit Financings, the Plan of Reorganization became effective and we emerged from the Restructuring with a significantly deleveraged balance sheet, driven by the full repayment of TES’s first-lien funded debt outstanding at the commencement of the Restructuring and the consensual equitization of all of TES’s existing Prepetition Unsecured Notes and PEDFA 2009 Bonds outstanding at the commencement of the Restructuring, which resulted in an approximate $2.5 billion reduction in TES’s debt and an additional $530 million of other liabilities subject to compromise. For additional information on the Restructuring, Plan of Reorganization and Exit Financings,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660" w:top="121" w:right="6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750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“Business—Restructuring and Financing Transactions,” “Management’s Discussion and Analysis of Financial Condition and Results of Operations—Liquidity and Capital Resources” and the notes to the consolidated financial statements included elsewhere in this prospectus.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electricity, natural gas and other commodities may materially adversely impact our financial condition, results of operations, liquidity and cash flows.</w:t>
      </w:r>
    </w:p>
    <w:p>
      <w:pPr>
        <w:spacing w:after="0" w:line="107" w:lineRule="exact"/>
        <w:rPr>
          <w:rFonts w:ascii="Times New Roman" w:cs="Times New Roman" w:eastAsia="Times New Roman" w:hAnsi="Times New Roman"/>
          <w:sz w:val="18"/>
          <w:szCs w:val="18"/>
          <w:color w:val="auto"/>
        </w:rPr>
      </w:pPr>
    </w:p>
    <w:p>
      <w:pPr>
        <w:ind w:left="640" w:right="400" w:hanging="326"/>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 such as the ongoing slowdown in the U.S. economy, significant advances in technology or changes in energy consumption, may significantly impact our margins and results of operations.</w:t>
      </w:r>
    </w:p>
    <w:p>
      <w:pPr>
        <w:spacing w:after="0" w:line="121"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competitive power generation market, which may adversely affect our ability to operate profitably and generate positive cash flow.</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and Operational Risks</w:t>
      </w:r>
    </w:p>
    <w:p>
      <w:pPr>
        <w:spacing w:after="0" w:line="175" w:lineRule="exact"/>
        <w:rPr>
          <w:sz w:val="20"/>
          <w:szCs w:val="20"/>
          <w:color w:val="auto"/>
        </w:rPr>
      </w:pPr>
    </w:p>
    <w:p>
      <w:pPr>
        <w:ind w:left="640" w:hanging="326"/>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power generation facilities involves significant risks and hazards customary to the power industry that could have a material adverse effect on our financial condition and results of operations, and we may not have adequate insurance to cover the risks and hazards.</w:t>
      </w:r>
    </w:p>
    <w:p>
      <w:pPr>
        <w:spacing w:after="0" w:line="12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Susquehanna, which contributes a majority of our earnings associated with electric generation, subjects us to substantial risks associated with nuclear generation.</w:t>
      </w:r>
    </w:p>
    <w:p>
      <w:pPr>
        <w:spacing w:after="0" w:line="107" w:lineRule="exact"/>
        <w:rPr>
          <w:rFonts w:ascii="Times New Roman" w:cs="Times New Roman" w:eastAsia="Times New Roman" w:hAnsi="Times New Roman"/>
          <w:sz w:val="18"/>
          <w:szCs w:val="18"/>
          <w:color w:val="auto"/>
        </w:rPr>
      </w:pPr>
    </w:p>
    <w:p>
      <w:pPr>
        <w:ind w:left="640" w:right="40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impact the environment or cause exposure to hazardous substances, and our properties may have environmental contamination, which could result in material liabilities to us.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supply of fuel and other necessary products could adversely impact us.</w:t>
      </w:r>
    </w:p>
    <w:p>
      <w:pPr>
        <w:spacing w:after="0" w:line="171" w:lineRule="exact"/>
        <w:rPr>
          <w:rFonts w:ascii="Times New Roman" w:cs="Times New Roman" w:eastAsia="Times New Roman" w:hAnsi="Times New Roman"/>
          <w:sz w:val="18"/>
          <w:szCs w:val="18"/>
          <w:color w:val="auto"/>
        </w:rPr>
      </w:pPr>
    </w:p>
    <w:p>
      <w:pPr>
        <w:ind w:left="640" w:right="16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and potential reorganization of certain assets and subsidiaries could result in significant costs and have an adverse effect on our operating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Regulatory, Legislative and Legal Risks</w:t>
      </w:r>
    </w:p>
    <w:p>
      <w:pPr>
        <w:spacing w:after="0" w:line="175" w:lineRule="exact"/>
        <w:rPr>
          <w:sz w:val="20"/>
          <w:szCs w:val="20"/>
          <w:color w:val="auto"/>
        </w:rPr>
      </w:pPr>
    </w:p>
    <w:p>
      <w:pPr>
        <w:ind w:left="640" w:right="36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7"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a nuclear power facility subjects us to regulations, costs and liabilities uniquely associated with these types of facilities.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 could negatively impact our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680" w:top="121" w:right="6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6202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right="14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640" w:right="50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tax attributes, including net operating loss carryforwards, remaining following Emergence, if any, may be limited.</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state interference in the competitive marketplaces.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Risks</w:t>
      </w:r>
    </w:p>
    <w:p>
      <w:pPr>
        <w:spacing w:after="0" w:line="175" w:lineRule="exact"/>
        <w:rPr>
          <w:sz w:val="20"/>
          <w:szCs w:val="20"/>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indicative of our future financial performance.</w:t>
      </w:r>
    </w:p>
    <w:p>
      <w:pPr>
        <w:spacing w:after="0" w:line="17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and impair our ability to operate our business.</w:t>
      </w:r>
    </w:p>
    <w:p>
      <w:pPr>
        <w:spacing w:after="0" w:line="171" w:lineRule="exact"/>
        <w:rPr>
          <w:rFonts w:ascii="Times New Roman" w:cs="Times New Roman" w:eastAsia="Times New Roman" w:hAnsi="Times New Roman"/>
          <w:sz w:val="18"/>
          <w:szCs w:val="18"/>
          <w:color w:val="auto"/>
        </w:rPr>
      </w:pPr>
    </w:p>
    <w:p>
      <w:pPr>
        <w:ind w:left="640" w:right="94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subjects us to the risk of higher interest rates, which could cause our future debt service obligations to increase significantly.</w:t>
      </w:r>
    </w:p>
    <w:p>
      <w:pPr>
        <w:spacing w:after="0" w:line="107" w:lineRule="exact"/>
        <w:rPr>
          <w:rFonts w:ascii="Times New Roman" w:cs="Times New Roman" w:eastAsia="Times New Roman" w:hAnsi="Times New Roman"/>
          <w:sz w:val="18"/>
          <w:szCs w:val="18"/>
          <w:color w:val="auto"/>
        </w:rPr>
      </w:pPr>
    </w:p>
    <w:p>
      <w:pPr>
        <w:ind w:left="640" w:right="10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various covenants that impose restrictions on TES and certain of its subsidiaries that may affect our ability to operate our business and to make payments on our indebtedness.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Growth and Strategic Risks</w:t>
      </w:r>
    </w:p>
    <w:p>
      <w:pPr>
        <w:spacing w:after="0" w:line="175" w:lineRule="exact"/>
        <w:rPr>
          <w:sz w:val="20"/>
          <w:szCs w:val="20"/>
          <w:color w:val="auto"/>
        </w:rPr>
      </w:pPr>
    </w:p>
    <w:p>
      <w:pPr>
        <w:ind w:left="640" w:right="26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 development activities through our Cumulus Affiliates may consume a significant portion of our management’s focus and resources, and if not completed or successful, reduce our profitability.</w:t>
      </w:r>
    </w:p>
    <w:p>
      <w:pPr>
        <w:spacing w:after="0" w:line="107" w:lineRule="exact"/>
        <w:rPr>
          <w:rFonts w:ascii="Times New Roman" w:cs="Times New Roman" w:eastAsia="Times New Roman" w:hAnsi="Times New Roman"/>
          <w:sz w:val="18"/>
          <w:szCs w:val="18"/>
          <w:color w:val="auto"/>
        </w:rPr>
      </w:pPr>
    </w:p>
    <w:p>
      <w:pPr>
        <w:ind w:left="640" w:right="4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in and operation of a Bitcoin mining facility subjects us to certain risks.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5" w:lineRule="exact"/>
        <w:rPr>
          <w:sz w:val="20"/>
          <w:szCs w:val="20"/>
          <w:color w:val="auto"/>
        </w:rPr>
      </w:pPr>
    </w:p>
    <w:p>
      <w:pPr>
        <w:ind w:left="640" w:right="20" w:hanging="326"/>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any dividends on our common stock in the future.</w:t>
      </w:r>
    </w:p>
    <w:p>
      <w:pPr>
        <w:spacing w:after="0" w:line="171" w:lineRule="exact"/>
        <w:rPr>
          <w:rFonts w:ascii="Times New Roman" w:cs="Times New Roman" w:eastAsia="Times New Roman" w:hAnsi="Times New Roman"/>
          <w:sz w:val="18"/>
          <w:szCs w:val="18"/>
          <w:color w:val="auto"/>
        </w:rPr>
      </w:pPr>
    </w:p>
    <w:p>
      <w:pPr>
        <w:ind w:left="640" w:right="180" w:hanging="326"/>
        <w:spacing w:after="0" w:line="28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distract management, and, as a result, we may be unable to comply with these requirements in a timely or cost-effective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June 6, 2014. Our principal executive offices are located at 2929 Allen Pkwy, Suite 2200, Houston, TX 77019 and our telephone number is (888) 211-6011. Our website address is www.talenenergy.com.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680" w:top="121" w:right="6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655320</wp:posOffset>
            </wp:positionV>
            <wp:extent cx="7136130" cy="446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46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7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Talen Energy Corporation.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that may be offered by</w:t>
            </w:r>
          </w:p>
        </w:tc>
        <w:tc>
          <w:tcPr>
            <w:tcW w:w="67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Up to 50,817,328 shares.</w:t>
            </w:r>
          </w:p>
        </w:tc>
        <w:tc>
          <w:tcPr>
            <w:tcW w:w="0" w:type="dxa"/>
            <w:vAlign w:val="bottom"/>
          </w:tcPr>
          <w:p>
            <w:pPr>
              <w:spacing w:after="0"/>
              <w:rPr>
                <w:sz w:val="1"/>
                <w:szCs w:val="1"/>
                <w:color w:val="auto"/>
              </w:rPr>
            </w:pPr>
          </w:p>
        </w:tc>
      </w:tr>
      <w:tr>
        <w:trPr>
          <w:trHeight w:val="234"/>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67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58,535,843 shares.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We will not receive any of the proceeds from the resale of our common stock by the Selling</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Stockholders, but we have agreed to pay certain registration expenses. See “Use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Proceeds” and “Principal and Selling Stockholders.”</w:t>
            </w:r>
          </w:p>
        </w:tc>
        <w:tc>
          <w:tcPr>
            <w:tcW w:w="0" w:type="dxa"/>
            <w:vAlign w:val="bottom"/>
          </w:tcPr>
          <w:p>
            <w:pPr>
              <w:spacing w:after="0"/>
              <w:rPr>
                <w:sz w:val="1"/>
                <w:szCs w:val="1"/>
                <w:color w:val="auto"/>
              </w:rPr>
            </w:pPr>
          </w:p>
        </w:tc>
      </w:tr>
      <w:tr>
        <w:trPr>
          <w:trHeight w:val="27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Symbol for common stock</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intend to list our common stock on Nasdaq under the symbol “TLN.”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Selling Stockholders may resell all or any part of the shares of our common stock</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offered hereby from time to time at fixed prices, prevailing market prices at the times of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sale, prices related to such prevailing market prices, varying prices determined at the times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sale or negotiated prices.</w:t>
            </w: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distributions (payable in cash, property or capital stock of the Company) when, as and if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declared thereon by our board of directors (“Board of Directors”) from time to time out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w w:val="99"/>
              </w:rPr>
              <w:t>any assets or funds of the Company legally available for the payment of dividends and shall</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 equally on a per share basis in such dividends and distributions.</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be at the discretion of our Board of Directors and will depend on then-existing conditions,</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including our financial condition, results of operations, contractual restrictions, capital</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requirements, business prospects and other factors our Board of Directors may deem</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relevant. In addition, our ability to pay dividends may be restricted by any agreements we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may enter into in the future.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making a decision to invest in our common stock, you should carefully consider the</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672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information referred to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above excludes 7,083,461 shares of common stock reserved for issuance under our 2023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00"/>
          </w:cols>
          <w:pgMar w:left="680" w:top="121" w:right="71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553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INFORMATION</w:t>
      </w:r>
    </w:p>
    <w:p>
      <w:pPr>
        <w:spacing w:after="0" w:line="175" w:lineRule="exact"/>
        <w:rPr>
          <w:sz w:val="20"/>
          <w:szCs w:val="20"/>
          <w:color w:val="auto"/>
        </w:rPr>
      </w:pPr>
    </w:p>
    <w:p>
      <w:pPr>
        <w:ind w:left="2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and unaudited pro forma condensed consolidated financial information for the Successor for periods subsequent to Emergence and the Predecessor and its consolidated subsidiaries for periods prior to Emergence. The financial statements of the Successor are not entirely comparable to the financial statements of the Predecessor as those periods prior to Emergence do not give effect to any adjustments to the carrying values of assets or amounts of liabilities that resulted from the Plan of Reorganization and the related application of fresh-start reporting, which includes accounting policies implemented by the Successor that may differ from the Predecessor. The summary historical consolidated financial information as of March 31, 2024 and for the three months ended March 31, 2024 and 2023, respectively, is derived from the unaudited condensed consolidated financial statements of the Successor and Predecessor, which are included elsewhere in this prospectus. The summary historical consolidated financial information (i) as of December 31, 2023 and for the period from May 18, 2023 through December 31, 2023 and (ii) as of and for the years ended December 31, 2022 and 2021 and for the period from January 1, 2023 through May 17, 2023 is derived from the audited consolidated financial statements of the Successor and Predecessor, respectively, each as included elsewhere in this prospectus.</w:t>
      </w:r>
    </w:p>
    <w:p>
      <w:pPr>
        <w:spacing w:after="0" w:line="138" w:lineRule="exact"/>
        <w:rPr>
          <w:sz w:val="20"/>
          <w:szCs w:val="20"/>
          <w:color w:val="auto"/>
        </w:rPr>
      </w:pPr>
    </w:p>
    <w:p>
      <w:pPr>
        <w:ind w:left="20" w:right="40" w:firstLine="324"/>
        <w:spacing w:after="0" w:line="254" w:lineRule="auto"/>
        <w:rPr>
          <w:sz w:val="20"/>
          <w:szCs w:val="20"/>
          <w:color w:val="auto"/>
        </w:rPr>
      </w:pPr>
      <w:r>
        <w:rPr>
          <w:rFonts w:ascii="Times New Roman" w:cs="Times New Roman" w:eastAsia="Times New Roman" w:hAnsi="Times New Roman"/>
          <w:sz w:val="18"/>
          <w:szCs w:val="18"/>
          <w:color w:val="auto"/>
          <w:highlight w:val="white"/>
        </w:rPr>
        <w:t xml:space="preserve">The pro forma information reflects the consolidated financial information of the Predecessor for the period from January 1, 2023 through May 17, 2023 and the Successor for the period from May 18, 2023 through December 31, 2023. </w:t>
      </w:r>
      <w:r>
        <w:rPr>
          <w:rFonts w:ascii="Times New Roman" w:cs="Times New Roman" w:eastAsia="Times New Roman" w:hAnsi="Times New Roman"/>
          <w:sz w:val="18"/>
          <w:szCs w:val="18"/>
          <w:color w:val="auto"/>
        </w:rPr>
        <w:t>The pro forma adjustments give effect to (i)</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various transactions effected pursuant to the Plan of Reorganization and (ii) the application of fresh-start accounting. The unaudited pro forma condensed consolidated statement of operations for the year ended December 31, 2023 gives effect to the pro forma adjustments as if each adjustment had occurred on January 1, 2023, the first day of the last fiscal year presented. The summary unaudited pro forma condensed consolidated financial information is provided for illustrative purposes only and does not purport to represent what our actual consolidated results of operations would have been had the adjustments occurred on the dates assumed, nor is it necessarily indicative of future consolidated results of operations.</w:t>
      </w:r>
    </w:p>
    <w:p>
      <w:pPr>
        <w:spacing w:after="0" w:line="138" w:lineRule="exact"/>
        <w:rPr>
          <w:sz w:val="20"/>
          <w:szCs w:val="20"/>
          <w:color w:val="auto"/>
        </w:rPr>
      </w:pPr>
    </w:p>
    <w:p>
      <w:pPr>
        <w:ind w:left="20" w:right="20" w:firstLine="324"/>
        <w:spacing w:after="0" w:line="255" w:lineRule="auto"/>
        <w:rPr>
          <w:sz w:val="20"/>
          <w:szCs w:val="20"/>
          <w:color w:val="auto"/>
        </w:rPr>
      </w:pPr>
      <w:r>
        <w:rPr>
          <w:rFonts w:ascii="Times New Roman" w:cs="Times New Roman" w:eastAsia="Times New Roman" w:hAnsi="Times New Roman"/>
          <w:sz w:val="18"/>
          <w:szCs w:val="18"/>
          <w:color w:val="auto"/>
        </w:rPr>
        <w:t>These tables should be read in conjunction with “Management’s Discussion and Analysis of Financial Condition and Results of Operations,” “Unaudited Pro Forma Condensed Consolidated Financial Information,” and the Interim Financial Statements and Annual Financial Statements, and, in each case, the related notes included elsewhere in this prospectus. In addition, as you review the consolidated Predecessor financial statements set forth herein you should be aware that such Predecessor financial statements may not be entirely comparable to our future financial statements because such Predecessor financial statements do not take into account the effects of the Plan of Reorganization and Emergence or any required adjustments for fresh-start reporting, in each case, which were taken into account in the Interim Financial Statements and the Annual Financial Statements and will be taken into account in our future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1"/>
                <w:szCs w:val="11"/>
                <w:color w:val="auto"/>
              </w:rPr>
            </w:pPr>
          </w:p>
        </w:tc>
        <w:tc>
          <w:tcPr>
            <w:tcW w:w="216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240" w:type="dxa"/>
            <w:vAlign w:val="bottom"/>
            <w:tcBorders>
              <w:right w:val="single" w:sz="8" w:color="auto"/>
            </w:tcBorders>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9"/>
                <w:szCs w:val="9"/>
                <w:color w:val="auto"/>
              </w:rPr>
            </w:pPr>
          </w:p>
        </w:tc>
        <w:tc>
          <w:tcPr>
            <w:tcW w:w="12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9"/>
                <w:szCs w:val="9"/>
                <w:color w:val="auto"/>
              </w:rPr>
            </w:pPr>
          </w:p>
        </w:tc>
        <w:tc>
          <w:tcPr>
            <w:tcW w:w="1120" w:type="dxa"/>
            <w:vAlign w:val="bottom"/>
            <w:tcBorders>
              <w:right w:val="single" w:sz="8" w:color="auto"/>
            </w:tcBorders>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May 17,</w:t>
            </w:r>
          </w:p>
        </w:tc>
        <w:tc>
          <w:tcPr>
            <w:tcW w:w="1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23"/>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240" w:type="dxa"/>
            <w:vAlign w:val="bottom"/>
            <w:tcBorders>
              <w:right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6"/>
        </w:trPr>
        <w:tc>
          <w:tcPr>
            <w:tcW w:w="19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i w:val="1"/>
                <w:iCs w:val="1"/>
                <w:color w:val="auto"/>
              </w:rPr>
              <w:t>(in millions, except per share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shares of</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660" w:top="121" w:right="6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32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Borders>
              <w:right w:val="single" w:sz="8" w:color="auto"/>
            </w:tcBorders>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May 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tcBorders>
              <w:right w:val="single" w:sz="8" w:color="auto"/>
            </w:tcBorders>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528"/>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9"/>
                <w:szCs w:val="9"/>
                <w:color w:val="auto"/>
              </w:rPr>
            </w:pPr>
          </w:p>
        </w:tc>
        <w:tc>
          <w:tcPr>
            <w:tcW w:w="122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May 17,</w:t>
            </w:r>
          </w:p>
        </w:tc>
        <w:tc>
          <w:tcPr>
            <w:tcW w:w="320" w:type="dxa"/>
            <w:vAlign w:val="bottom"/>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19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Weighted average shares of</w:t>
            </w:r>
          </w:p>
        </w:tc>
        <w:tc>
          <w:tcPr>
            <w:tcW w:w="1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1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right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780" w:type="dxa"/>
            <w:vAlign w:val="bottom"/>
            <w:gridSpan w:val="3"/>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right w:val="single" w:sz="8" w:color="auto"/>
            </w:tcBorders>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 term debt (including current portion)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20" w:firstLine="324"/>
        <w:spacing w:after="0" w:line="254" w:lineRule="auto"/>
        <w:rPr>
          <w:sz w:val="20"/>
          <w:szCs w:val="20"/>
          <w:color w:val="auto"/>
        </w:rPr>
      </w:pPr>
      <w:r>
        <w:rPr>
          <w:rFonts w:ascii="Times New Roman" w:cs="Times New Roman" w:eastAsia="Times New Roman" w:hAnsi="Times New Roman"/>
          <w:sz w:val="18"/>
          <w:szCs w:val="18"/>
          <w:color w:val="auto"/>
        </w:rPr>
        <w:t>We include in this prospectus Adjusted EBITDA, which we use as a measure of our performance, and which is not a financial measure prepared under GAAP. Non-GAAP financial measures, such as Adjusted EBITDA, do not have definitions under GAAP and may be defined and calculated differently by, and not be comparable to, similarly titled measures used by other companies or used in our credit facilities, the indentures governing our notes or any of our other debt agreements.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investors not to place undue reliance on such non-GAAP financial measures, but to also consider them along with their most directly comparable GAAP financial measures. Non-GAAP measures have limitations as an analytical tool and should not be considered in isolation or as a substitute for analyzing our results as reported under GAAP.</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left="20" w:right="140"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660" w:top="121" w:right="6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6219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60" w:firstLine="324"/>
        <w:spacing w:after="0" w:line="270" w:lineRule="auto"/>
        <w:rPr>
          <w:sz w:val="20"/>
          <w:szCs w:val="20"/>
          <w:color w:val="auto"/>
        </w:rPr>
      </w:pPr>
      <w:r>
        <w:rPr>
          <w:rFonts w:ascii="Times New Roman" w:cs="Times New Roman" w:eastAsia="Times New Roman" w:hAnsi="Times New Roman"/>
          <w:sz w:val="17"/>
          <w:szCs w:val="17"/>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w:t>
      </w:r>
    </w:p>
    <w:p>
      <w:pPr>
        <w:spacing w:after="0" w:line="3" w:lineRule="exact"/>
        <w:rPr>
          <w:sz w:val="20"/>
          <w:szCs w:val="20"/>
          <w:color w:val="auto"/>
        </w:rPr>
      </w:pPr>
    </w:p>
    <w:p>
      <w:pPr>
        <w:ind w:left="20" w:right="60" w:hanging="10"/>
        <w:spacing w:after="0" w:line="253" w:lineRule="auto"/>
        <w:tabs>
          <w:tab w:leader="none" w:pos="4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(xiv) Cumulus Digital (until December 31, 2023) and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of 2024, following termination of the Cumulus Digital TLF and associated cash flow sweep.</w:t>
      </w:r>
    </w:p>
    <w:p>
      <w:pPr>
        <w:spacing w:after="0" w:line="135" w:lineRule="exact"/>
        <w:rPr>
          <w:sz w:val="20"/>
          <w:szCs w:val="20"/>
          <w:color w:val="auto"/>
        </w:rPr>
      </w:pPr>
    </w:p>
    <w:p>
      <w:pPr>
        <w:ind w:left="20" w:right="20" w:firstLine="324"/>
        <w:spacing w:after="0" w:line="274" w:lineRule="auto"/>
        <w:rPr>
          <w:sz w:val="20"/>
          <w:szCs w:val="20"/>
          <w:color w:val="auto"/>
        </w:rPr>
      </w:pPr>
      <w:r>
        <w:rPr>
          <w:rFonts w:ascii="Times New Roman" w:cs="Times New Roman" w:eastAsia="Times New Roman" w:hAnsi="Times New Roman"/>
          <w:sz w:val="17"/>
          <w:szCs w:val="17"/>
          <w:color w:val="auto"/>
        </w:rPr>
        <w:t>Additionally, we believe investors commonly adjust net income (loss) information to eliminate the effect of nonrecurring restructuring expenses and other non-cash charges, which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across periods. Adjusted EBITDA is widely used by investors to measure a company’s operating performance without regard to such items described above. These adjustments can vary substantially from company to company depending upon accounting policies, book value of assets, capital structure and the method by which assets were acquired.</w:t>
      </w:r>
    </w:p>
    <w:p>
      <w:pPr>
        <w:spacing w:after="0" w:line="119" w:lineRule="exact"/>
        <w:rPr>
          <w:sz w:val="20"/>
          <w:szCs w:val="20"/>
          <w:color w:val="auto"/>
        </w:rPr>
      </w:pPr>
    </w:p>
    <w:p>
      <w:pPr>
        <w:ind w:left="20"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GAAP financial measure of “Net Income (Loss)” presented on the Consolidated Statements of Operations to the non-GAAP financial measure of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through May 17,</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(977)</w:t>
            </w:r>
          </w:p>
        </w:tc>
        <w:tc>
          <w:tcPr>
            <w:tcW w:w="0" w:type="dxa"/>
            <w:vAlign w:val="bottom"/>
          </w:tcPr>
          <w:p>
            <w:pPr>
              <w:spacing w:after="0"/>
              <w:rPr>
                <w:sz w:val="1"/>
                <w:szCs w:val="1"/>
                <w:color w:val="auto"/>
              </w:rPr>
            </w:pPr>
          </w:p>
        </w:tc>
      </w:tr>
      <w:tr>
        <w:trPr>
          <w:trHeight w:val="21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Hedge termination losses, net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Reorganization (gain) loss, net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commodity</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contracts</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Nuclear decommissioning trust funds (gain)</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net</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Stock-based and other long-term incentive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 compensation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Environmental and ARO revisions 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fully depreciated property, plant and</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non-core asset sales, net </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impairments </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and litigation costs </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660" w:top="121" w:right="69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655320</wp:posOffset>
            </wp:positionV>
            <wp:extent cx="7136130" cy="385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385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Unusual market events </w:t>
            </w:r>
            <w:r>
              <w:rPr>
                <w:rFonts w:ascii="Times New Roman" w:cs="Times New Roman" w:eastAsia="Times New Roman" w:hAnsi="Times New Roman"/>
                <w:sz w:val="23"/>
                <w:szCs w:val="23"/>
                <w:color w:val="auto"/>
                <w:vertAlign w:val="superscript"/>
              </w:rPr>
              <w:t>(g)</w:t>
            </w: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periodic defined benefit cost </w:t>
            </w:r>
            <w:r>
              <w:rPr>
                <w:rFonts w:ascii="Times New Roman" w:cs="Times New Roman" w:eastAsia="Times New Roman" w:hAnsi="Times New Roman"/>
                <w:sz w:val="23"/>
                <w:szCs w:val="23"/>
                <w:color w:val="auto"/>
                <w:vertAlign w:val="superscript"/>
              </w:rPr>
              <w:t>(h)</w:t>
            </w:r>
          </w:p>
        </w:tc>
        <w:tc>
          <w:tcPr>
            <w:tcW w:w="4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81"/>
        </w:trPr>
        <w:tc>
          <w:tcPr>
            <w:tcW w:w="3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Operational and other restructuring</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3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3"/>
                <w:szCs w:val="23"/>
                <w:color w:val="auto"/>
                <w:vertAlign w:val="superscript"/>
              </w:rPr>
              <w:t>(i)</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4"/>
        </w:trPr>
        <w:tc>
          <w:tcPr>
            <w:tcW w:w="3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management costs and other</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Non-cash inventory net realizable value,</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obsolescence, and other charges </w:t>
            </w:r>
            <w:r>
              <w:rPr>
                <w:rFonts w:ascii="Times New Roman" w:cs="Times New Roman" w:eastAsia="Times New Roman" w:hAnsi="Times New Roman"/>
                <w:sz w:val="23"/>
                <w:szCs w:val="23"/>
                <w:color w:val="auto"/>
                <w:vertAlign w:val="superscript"/>
              </w:rPr>
              <w:t>(j)</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Cumulus Digital activities and</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3"/>
                <w:szCs w:val="23"/>
                <w:color w:val="auto"/>
                <w:vertAlign w:val="superscript"/>
              </w:rPr>
              <w:t>(k)</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0"/>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terminated commercial contracts. See Note 5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in Notes to the Interim Financial Statements and Note 3 in Notes to the Annual Financial Statements for additional information.</w:t>
      </w:r>
    </w:p>
    <w:p>
      <w:pPr>
        <w:spacing w:after="0" w:line="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in Notes to the Interim Financial Statements and Note 22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in Notes to the Interim Financial Statements and Note 10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Interim Financial Statements and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market losses and settlements for Winter Storm Elliott that occurred in 2022 and Winter Storm Uri that occurred in 2021.</w:t>
      </w:r>
    </w:p>
    <w:p>
      <w:pPr>
        <w:spacing w:after="0" w:line="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postretirement benefits service cost and postretirement benefits gain (loss).</w:t>
      </w:r>
    </w:p>
    <w:p>
      <w:pPr>
        <w:spacing w:after="0" w:line="11" w:lineRule="exact"/>
        <w:rPr>
          <w:rFonts w:ascii="Times New Roman" w:cs="Times New Roman" w:eastAsia="Times New Roman" w:hAnsi="Times New Roman"/>
          <w:sz w:val="14"/>
          <w:szCs w:val="14"/>
          <w:color w:val="auto"/>
        </w:rPr>
      </w:pPr>
    </w:p>
    <w:p>
      <w:pPr>
        <w:ind w:left="340" w:right="180" w:hanging="330"/>
        <w:spacing w:after="0" w:line="261" w:lineRule="auto"/>
        <w:tabs>
          <w:tab w:leader="none" w:pos="32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includes non-cash charges for estimates of damages for contracts terminated in connection with the Restructuring. See Note 3 in Notes to the Annual Financial Statements for additional information.</w:t>
      </w: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in Notes to the Interim Financial Statements and Note 8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only beginning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660" w:top="121" w:right="69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and in the section titled “Management’s Discussion and Analysis of Financial Condition and Results of Operations,”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 “Talen,” “we,” “us” and “our,” unless the context requires otherwise, refer collectively to TEC, TES and TEC’s other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Risks</w:t>
      </w:r>
    </w:p>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price of electricity, natural gas and other commodities may materially adversely impact our financial condition, results of operations, liquidity and cash flows.</w:t>
      </w:r>
    </w:p>
    <w:p>
      <w:pPr>
        <w:spacing w:after="0" w:line="1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Market prices for electricity, capacity, ancillary services, natural gas, uranium, coal and oil are unpredictable and fluctuate substantially over relatively short periods. Market prices for electricity are particularly volatile due to electricity’s inability to be stored in large quantities, so it must be used as it is produced. This results in electricity prices being subject to significant fluctuations based on supply and demand imbalances in the day-ahead and real-time markets. As a result of the use of natural gas in facilities that often serve as the marginal, price-setting generating units, there is also a strong positive correlation between the price of natural gas and the wholesale market price of electricity, in each case in the competitive electric markets in which we operate. In recent years, the market price of natural gas has experienced significant volatility, while prices for other fuels have also varied. Our energy margins are significantly influenced by the relationship between the price of electricity, the price of natural gas and, to a lesser extent, the price of other fuels like coal and uranium. A decline in the price of natural gas, including any negative impact on energy prices resulting therefrom, could materially adversely impact our energy margins, liquidity and results of operations.</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significantly impacted by weather conditions, which directly influence the demand for electricity and affect the price of energy. As of March 31, 2024 after giving effect to the ERCOT Sale, approximately 97% of our capacity was located in PJM. A warmer winter in the Mid-Atlantic may suppress regional natural gas prices and reduce our energy margins, particularly in PJM. Alternatively, warmer summer temperatures tend to increase cooling electricity demand, energy prices and margins, and cooler winter temperatures tend to increase winter heating electricity demand, energy prices and margins. Furthermore, our operating expenses typically fluctuate geographically on a seasonal basis, with peak power generation expenses during the winter in the Mid-Atlantic and, prior to the ERCOT Sale, during the summer in Texas. Moderate temperatures reduce the usage of electricity and adversely affect resulting energy margins to the extent that weather is cooler in the summer or warmer in the winter than forecasted. Moreover, extreme weather events, such as Winter Storm Uri and Winter Storm Elliot, can also materially impact power prices or otherwise exacerbate conditions or circumstances that result in volatility of power prices. Weather conditions, which cannot be accurately predicted, may have an adverse effect on our business, results of operations and financial condition, including by requiring us to sell excess electricity on the spot market at a time when market prices are weak.</w:t>
      </w:r>
    </w:p>
    <w:p>
      <w:pPr>
        <w:spacing w:after="0" w:line="14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effects of climate change, such as increased frequency and severity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Climate change could also affect the availability of a secure and economical supply of water in some locations, which is essential for the continued operation of our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wholesale electricity prices or decreases in demand for electricity due to macroeconomic factors, such as the ongoing slowdown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economy, significant advances in technology or changes in energy consumption, may significantly impact our margins and results of operations.</w:t>
      </w:r>
    </w:p>
    <w:p>
      <w:pPr>
        <w:spacing w:after="0" w:line="15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Adverse economic conditions may reduce the demand for electricity in the key wholesale power markets we serve. In addition, improvements in energy efficiency, conservation efforts and other shifts in energy consumption have slowed, and may continue to slow, electricity consumption growth, particularly in PJM, and may eventually reduce consumption of electricity, which would likely affect our business over the long term. The combination of lower demand for electric power, an increasing supply of natural gas and penetration of renewables in the markets in which we operate has, and may continue to, put downward price pressure on wholesale power market prices in general, further impacting our results of operations. Economic and commodity market conditions will continue to impact our margins on unhedged future energy production, liquidity, earnings growth and overall financial condition.</w:t>
      </w:r>
    </w:p>
    <w:p>
      <w:pPr>
        <w:spacing w:after="0" w:line="13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industry is subject to significant advances in technology, including the introduction of new products, technologies and methods of electric power generation. Changes in technology or increased electricity conservation efforts may reduce the value of our generation facilities and may otherwise have a material adverse effect on us. Technological advances have improved, and are likely to continue to improve, existing and alternative methods to produce, dispatch and store power, which could have the further effect of increasing the overall electricity supply. In addition, technological advances in demand-side management and increased conservation efforts have decreased, and are expected to continue decreasing, electricity demand. As a result of these technological advances and changes in consumption patterns, the dispatch, Capacity Factors and value of our generation facilities could decline, which could have a material adverse effect on our financial condition, operating cash flows and results of operations.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competitive power generation market, which may adversely affect our ability to operate profitably and generate positive cash flow.</w:t>
      </w:r>
    </w:p>
    <w:p>
      <w:pPr>
        <w:spacing w:after="0" w:line="10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sell our available electricity and ancillary services and products into competitive wholesale markets through the day-ahead and real-time spot market, and under contracts of varying duration. Our competitors include regulated utilities, industrial companies, other non-utility generators, competitive subsidiaries of regulated utilities, financial institutions and other energy marketers. Additionally, we may face competitors that have access to greater resources, newer generation facilities, lower costs or more experience, which could adversely affect our ability to compete in our markets.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Competition in the wholesale power markets occurs principally on the basis of the price of products and, to a lesser extent, reliability and availability. Competition is affected by electricity and fuel prices, relative cost of production of electricity products, new market entrants and barriers thereto, construction by others of generation or storage assets and transmission capacity, technological advances in power generation, the actions of environmental and other regulatory authorities, establishment of legislation which favors one form of generation over another, such as investment tax credits or production tax credits and other factors. For example, substantial quantities of new generation capacity, including new combined cycle gas and renewable power generation, have been proposed and are under construction in PJM. Commencement of commercial operation of such facilities will increase the supply of electricity, and thus competition, in the wholesale power markets in these regions.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wholesale business is also dependent on our ability to operate successfully in a competitive environment and, unlike regulated utilities, we are not assured of any rate of return on capital investments through a regulated rate structure. These competitive factors may negatively affect our ability to sell electricity and related products and services, as well as the prices that we receive for these products and services.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Furthermore, federal and certain state entities in jurisdictions in which we operate have either enacted or are considering regulations or legislation to subsidize otherwise uneconomic plants and attempting to incentivize, including through certain tax benefits, the construction and development of additional renewable or carbon-free resources, as well as increases in energy efficiency investments. For example, the Inflation Reduction Act contains a number of tax credits and incentives relating to new renewable projects and clean energy technologies.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incentives could result in increased competition for us, which could have a material adverse effect on our financial condition, results of operations and cash flows.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generation business is subject to extensive regulation, including requirements that we obtain and comply with government permits and approvals, which may increase our costs, reduce our revenues or prevent or delay operation of our facilities.</w:t>
      </w:r>
    </w:p>
    <w:p>
      <w:pPr>
        <w:spacing w:after="0" w:line="105" w:lineRule="exact"/>
        <w:rPr>
          <w:sz w:val="20"/>
          <w:szCs w:val="20"/>
          <w:color w:val="auto"/>
        </w:rPr>
      </w:pPr>
    </w:p>
    <w:p>
      <w:pPr>
        <w:ind w:right="380" w:firstLine="324"/>
        <w:spacing w:after="0" w:line="274" w:lineRule="auto"/>
        <w:rPr>
          <w:sz w:val="20"/>
          <w:szCs w:val="20"/>
          <w:color w:val="auto"/>
        </w:rPr>
      </w:pPr>
      <w:r>
        <w:rPr>
          <w:rFonts w:ascii="Times New Roman" w:cs="Times New Roman" w:eastAsia="Times New Roman" w:hAnsi="Times New Roman"/>
          <w:sz w:val="17"/>
          <w:szCs w:val="17"/>
          <w:color w:val="auto"/>
        </w:rPr>
        <w:t>We are required to obtain, and to comply with, numerous permits, approvals, licenses and certificates from governmental agencies. Obtaining and renewing permits can be lengthy and complex and can sometimes result in the establishment of permit conditions that make the project or activity for which the permit was sought unprofitable or otherwise unattractive. Moreover, renewal of existing permits could be denied or jeopardized by various factors, including failure to provide adequate financial assurance for closure, local community, political or other opposition or executive, legislative or regulatory action. The cost of, or the inability to obtain or comply with the conditions of permits or approvals, may result in the delay or temporary suspension of our operations and electricity sales or the curtailment of our power delivery and may subject us to penalties and other sanctions.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generation subsidiaries sell electricity into the wholesale markets. Our generation subsidiaries and our marketing subsidiary are subject to rate, financial and organizational regulation by FERC. FERC has authorized us to sell energy, capacity and ancillary services at market-based prices and has granted us various waivers and blanket approvals customarily granted to market-based rate sellers, including a blanket authorization to issue securities and to assume liabilities. FERC retains the authority to modify or withdraw our market-based rate authority and to impose cost-based rates if it determines that the market is not competitive, that we possess market power in one or more markets, that we are not charging just and reasonable rates or that we have violated FERC’s market behavior rules or engaged in market manipulation. Any reduction by FERC in the rates that we may receive, any revocation of the waivers and blanket authorizations we have received from FERC, or any new or unfavorable changes to the regulation of our business by federal or state regulators could materially adversely affect our results of operations. In addition, if we were found to have violated FERC’s market behavior rules or other FERC requirements, FERC could impose civil penalties or order us to disgorge profits associated with the violation. Pursuant to the Capacity Performance construct, we are subject to economic penalties for generation non-performance up to our capacity commitments during certain PJM emergency events, which penalties could be material. See “—Regulatory, Legislative and Legal Risks—Extreme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3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armed conflicts, war, terrorist attacks or threats, pandemics, cyber-based attacks and other significant events could have a material adverse effect on our business.</w:t>
      </w:r>
    </w:p>
    <w:p>
      <w:pPr>
        <w:spacing w:after="0" w:line="10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Instability and unrest, as well as threats of war, other armed conflict and economic sanctions may lead to acts of war or terrorism or other economic disruption and high levels volatility in prices for oil and natural gas and the supply of nuclear fuel, which may significantly affect our business and results of operations.</w:t>
      </w:r>
    </w:p>
    <w:p>
      <w:pPr>
        <w:spacing w:after="0" w:line="12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we could be significantly affected by an epidemic, outbreak of an infectious disease or other public health events that are outside of our control. Depending on the severity of such an event and the resulting impacts to workforce and other resource availability, the ability to operate our generation facilities could be affected, resulting in decreased service levels and increased costs. Additionally, as our power generation facilities are geographically concentrated in certain areas of the United States, we face increased risk that a natural or man-made disaster in one of our geographical areas could adversely affect a significant percentage of our operations.</w:t>
      </w:r>
    </w:p>
    <w:p>
      <w:pPr>
        <w:spacing w:after="0" w:line="1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also subject to cyber-based security and integrity risk, which could result in an adverse impact to our reputation or our results of operations. The operation of our generation facilities and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21"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wholesale power sales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us to incur significant losses of revenues, other substantial liabilities and damages, costs to replace or repair damaged equipment and damage to our reputation. In addition, we may experience increased capital and operating costs to implement increased security for its cyber systems and physical security at our generation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Operational Risks</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financial condition and results of operations, and we may not have adequate insurance to cover the risks and hazards.</w:t>
      </w:r>
    </w:p>
    <w:p>
      <w:pPr>
        <w:spacing w:after="0" w:line="10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Power generation involves hazardous activities, including transporting, storing and handling fuel, operating large pieces of electrical and other equipment and connecting to high voltage transmission and distribution systems. As a result, our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significant personal injury or loss of life, severe property damage or destruction and any such event may expose us to liability for substantial damages, fine or penalties. Although we currently maintain customary insurance coverage for certain of these risks, we cannot provide any assurance that our insurance will be sufficient or effective under all circumstances and against all hazards or liabilities to which we may be subject, or that insurance coverage will continue to be available at economic rates. See “Business—Insurance.” Any losses not covered by insurance could have a material adverse effect on our business, financial condition and results of operations.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unplanned interruptions or periods of reduced output, which could have a material adverse effect on our results of operations, cash flows and financial condition.</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Operation of our generation facilities and other assets subjects us to a variety of risks, including from accidents, equipment failures, electrical delivery or transportation problems, fuel supply disruptions, environmental incidents, security and information technology breaches, labor disputes, obsolescence and below-expected performance. Any unexpected failure, including failure associated with breakdowns or forced outages, as well as any unanticipated capital expenditures, could result in reduced profitability. Although we maintain customary insurance coverage for certain of these risks, no assurance can be given that such insurance coverage will be sufficient to compensate us fully in the event losses occur. Our facilities require periodic maintenance and repair, and frequent or prolonged planned or unplanned outages could further affect our results of operations, including by requiring us to purchase power at then-current market prices to satisfy our commitments. Furthermore, we cannot be certain of the level of capital expenditures that will be required due to needed facility maintenance and repairs, competitive developments, changing environmental and safety laws and unexpected events, and any such expenditures could be significant.</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generation facilities are part of interconnected regional grids, we face the risk of congestion and other interruptions that could impact our operations.</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operations depend on transmission and distribution facilities owned and operated by RTOs, ISOs and other unaffiliated parties to deliver the electricity that we produce to our counterparties. If the transmission service from these facilities is unavailable or disrupted, or if the transmission capacity infrastructure is inadequate, our ability to sell and deliver wholesale power may be materially adversely affected. Electric power blackouts are possible and have occurred, which could disrupt electrical service for extended periods of time. If a blackout were to occur, the impact could result in interruptions to our operations, increased costs to replace existing contractual obligations, the possibility of regulatory investigations and potential operational risks to our facilities. Transmission constraints and outages, including line maintenance outages, can cause transmission congestion that negatively impacts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21" w:right="37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prices at our facilities, which could affect the realized margins of our generation fleet. The rates for transmission capacity from our facilities are set by others and thus are subject to changes, some of which could be significant.</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ownership and operation of Susquehanna, which contributes a majority of our earnings associated with electric generation, subjects us to substantial risks associated with nuclear generation.</w:t>
      </w:r>
    </w:p>
    <w:p>
      <w:pPr>
        <w:spacing w:after="0" w:line="10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Susquehanna accounted for a majority of our generation and associated earnings in 2023, and we expect that it will continue to contribute a majority of our generation and associated earnings in the future. Accordingly, an adverse development in Susquehanna’s operations, such as an unplanned outage or catastrophic event, could have a significant impact on our results of operations and liquidity. The risks and uncertainties of our nuclear generation include, among other things:</w:t>
      </w:r>
    </w:p>
    <w:p>
      <w:pPr>
        <w:spacing w:after="0" w:line="126" w:lineRule="exact"/>
        <w:rPr>
          <w:sz w:val="20"/>
          <w:szCs w:val="20"/>
          <w:color w:val="auto"/>
        </w:rPr>
      </w:pPr>
    </w:p>
    <w:p>
      <w:pPr>
        <w:ind w:left="660" w:right="2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relating to, the procurement, safeguarding, storage, handling, treatment, transport, release, use and disposal of nuclear fuel and other radioactive materials, including the costs of storing and maintaining spent nuclear fuel (“SNF”) at our on-site dry cask storage facility;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natural disasters, terrorist attacks, cyber security threats or other unforeseen events, and the costs of preventing, preparing for, and responding to any such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coverage commercially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financial aspects of modifying or decommissioning nuclear facilities at the end of their useful lives;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associated with ownership and operation of nuclear facilities;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frequency and duration of outages affect Susquehanna’s availability. Although we have met or exceeded our availability targets and have timely completed our planned refueling outages for several years, if future refueling outages last longer than anticipated or Susquehanna experiences unplanned outages for any reason, our results of operations and liquidity could be adversely affected. In addition, if Susquehanna were to experience a significant disruption to its operations, it is possible that our ability to meet our capacity commitments and obligations under long-term power supply contracts, including under the Cumulus Data Campus PPA, could be negatively impacted.</w:t>
      </w:r>
    </w:p>
    <w:p>
      <w:pPr>
        <w:spacing w:after="0" w:line="1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the costs associated with the nuclear fuel cycle are substantial and the suppliers for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which could result in substantial additional costs to us that cannot be predicted. Federal law requires the U.S. Government to provide for the permanent disposal of commercial SNF. Prior to May 2014, nuclear operators were required to contribute to a fund to pay for the transportation and disposal of SNF. In May 2014, this fee was reduced to zero. We cannot predict if or when the U.S. Government will increase this fee in the future, which could result in significant additional costs to us. Susquehanna is currently party to an agreement with the U.S. Government that requires the U.S. Government to reimburse certain costs to temporarily store SNF at the Susquehanna facility through the end of 2025. However, we cannot be certain that this arrangement will be extended beyond 2025.</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the safety record of nuclear reactors generally has been very good, accidents and other unforeseen problems have occurred both in the United States and abroad. The consequences of a major incident could be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21"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loss of life and property damage and could materially adversely affect our results of operations and liquidity.</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impact the environment or cause exposure to hazardous substances, and our properties may have environmental contamination, which could result in material liabilities to us.</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operations pose risks of environmental liability due to leakage, migration, emission, releases or spills of hazardous substances to the air, surface or subsurface soils, surface water or groundwater. Certain environmental laws impose strict as well as joint and several liability for costs required to remediate and restore sites. In addition, claims for damages to persons or property, including natural resources, may result from the environmental, health and safety impacts of our operations. We could be held responsible for all liabilities associated with the environmental condition of our generation facilities, including remediation or removal of any soil or groundwater contamination that may be present, regardless of whether we were responsible for the creation of the environmental condition or it arose from the activities of predecessors or third parties and even if our operations met previous standards in the industry at the time they were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related to hedging and asset management may result in economic losses and/or limited liquidity.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actively manage the market risk inherent in our generation and energy marketing activities, as well as monitor compliance with our risk management processes. Nonetheless, such programs may not manage or eliminate all risks or work as expected in all potential market outcomes. For example, actual electricity and fuel prices may be significantly different or more volatile than the historical trends and assumptions upon which we based our risk management calculations. Unforeseen market disruptions could decrease market depth and liquidity, negatively impacting our ability to enter into new transactions. We enter into financial contracts to hedge commodity “basis risk” and as a result are exposed to the risk that the correlation between delivery points could change with actual physical delivery. As a result, we cannot always predict the impact that our risk management decisions may have on us if actual events result in greater losses or costs than our risk models predict or greater volatility in our earnings and financial position. Any failure of our risk management activities to adequately manage the market risk inherent in our operations could adversely affect our business, financial condition and results of operations.</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also exposed to market risks associated with selling and marketing products in the wholesale power markets, including, among other risks, volatility arising from location and timing differences that may be associated with buying and transporting fuel and other electricity-related commodities, converting fuel into power and satisfying our contractual electricity sales obligations. We may from time to time undertake these activities to hedge those risks through hedging agreements with various counterparties, many of which require us to provide guarantees, offset or netting arrangements, LCs, a first lien on assets and/or cash collateral to protect the counterparties against the risk of our default or insolvency.</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Significant movements in market prices can cause us to be required to provide cash collateral and letters of credit in very large amounts. The effectiveness of our strategy may be dependent on the amount of collateral available to enter into or maintain these contracts, and liquidity requirements may be greater than we anticipate or will be able to meet. Without a sufficient amount of working capital to post as collateral, we may not be able to manage price volatility effectively or to implement our hedging strategy. An increase in the amount of LCs or cash collateral required to be provided to our counterparties may have a material adverse effect on us. As we are required to collateralize hedges that settle in future delivery periods, but do not receive settlements for electric generation until delivery, such collateral requirements could result in lower available cash and liquidity, which could adversely affect our business, financial condition and results of operations.</w:t>
      </w:r>
    </w:p>
    <w:p>
      <w:pPr>
        <w:spacing w:after="0" w:line="13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will have sufficient liquidity to fulfill our collateral obligations under these agreements. However, our obligation to post collateral could exceed the amount of our available liquidity, particularly if power prices increase significantly, and our ability to obtain additional liquidity could be limited by our debt or other agreements, willingness of lenders to lend us additional capital, financial markets or other factors.</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Despite reduced exchange trading, we may still have significant obligations that require cash collateral or the posting of LCs, which are at risk of being drawn down in the event we default on our obligations. In the normal course of business, we enter into agreements that provide financial performance assurance to third parties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of certain subsidiaries for certain obligations, which may include guarantees, stand-by LCs issued by financial institutions, surety bonds issued by insurance companies and indemnifications. Surety bond providers generally have the right to request additional collateral or request that such bonds be replaced by alternate surety providers, in each case upon the occurrence of certain events. TES has surety bonds posted to the MDEQ on behalf of Talen Montana’s proportional share of remediation and closure activities and has, in the past, issued LCs for support of its development and construction activities. If our LCs were drawn down, this may have a material adverse effect on our cash and liquidity,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risk management activities may increase the volatility in our quarterly and annual financial results.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employ a variety of commercial, physical and financial instruments to hedge commodity price volatility, provide stable cash flow generation and preserve forward margin. Certain of these transactions are recognized on the balance sheet at fair value with changes in their fair values resulting from fluctuations in the underlying commodity prices recognized in earnings. However, not all commercial risk management transactions meet the accounting standard for such accounting treatment and, accordingly, there may be timing differences between when these instruments are recognized in earnings. Additionally, even where the changes in fair values of these instruments are immediately recognized in earnings, those changes may not entirely offset the changes in fair values of the instruments that are subject to the hedges. Further, when commercial contract expires or is terminated, we may not secure replacement on acceptable terms or timing, if at all. It is possible that subsequent commercial contracts may not be available at prices that permit the operation of our generation fleet on a profitable basis. As a result, during periods of extreme price volatility or significant changes in market prices, our quarterly and annual results are subject to significant fluctuations due to changes in fair values of commodity derivative instruments caused by changes in market prices.</w:t>
      </w:r>
    </w:p>
    <w:p>
      <w:pPr>
        <w:spacing w:after="0" w:line="13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potential concentrations of credit risk resulting from ISOs, other customers and other market counterparties, financial institutions and other parties.</w:t>
      </w:r>
    </w:p>
    <w:p>
      <w:pPr>
        <w:spacing w:after="0" w:line="10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the risk of loss resulting from nonpayment by our contractual counterparties in the ordinary course of our business, including ISOs, other customers and other market counterparties and other parties to whom we supply certain products or services. As part of our risk management procedures, we have established credit procedures to evaluate counterparty credit risk, but these procedures and policies may not be adequate to fully identify or effectively manage customer and counterparty credit risk. Further, we cannot predict to what extent our business would be impacted by deteriorating conditions in the economy, including declines in our purchasers’ and hedging counterparties’ creditworthiness. Unanticipated deterioration in the creditworthiness of existing or future customers and hedging counterparties, and any resulting increase in nonpayment or nonperformance by them could cause us to reserve for or write-off uncollectible accounts.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3 in Notes to the Interim Financial Statements and Note 5 in Notes to the Annual Financial Statements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supply of fuel and other necessary products could adversely impact us.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purchase fuel and other consumables during the production of electricity (such as coal, natural gas, uranium, oil, water, lime, limestone and other chemicals and sorbents) from a number of suppliers. Delivery of these fuels and other consumables to our facilities is dependent upon the continuing financial viability of our contractual counterparties, as well as the transportation infrastructure available to serve each generation facility. If our suppliers or other contractual counterparties fail to perform, we may be forced to not operate, curtail the production of electricity or enter into alternative arrangements. If we have agreements in place to deliver firm electricity and capacity and fail to do so, we could be required to procure electricity from third parties to meet our contractual or capacity obligations or to otherwise pay market-based damages. Depending on price volatility in the wholesale power markets, such damages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sell forward a portion of our forecasted power generation in order to lock in future power prices that we deem to be favorable at the time we enter into the forward power sales contracts. In order to hedge our cost of production relating to those obligations, we may enter into forward contracts for the purchase and delivery of fuel. Many of the forward power sales contracts do not allow us to pass through changes in fuel costs or discharge the power sale obligations in the case of a disruption in fuel supply due to force majeure events or the default of a fuel supplier or transporter. Disruptions in our fuel supplies may require us to find alternative fuel sources at higher costs, find other sources of power to deliver to counterparties at a higher cost or pay damages to counterparties for failure to deliver power as contracted. Any such event could have a material adverse effect on our results of operations, liquidity or financial condition. Where we have assumed a forward capacity obligation in the PJM capacity market, we may also be exposed to substantial penalties if we fail to generate electricity as ordered during certain emergency periods. Extreme weather conditions, unplanned generation facility outages, environmental compliance costs, transmission disruptions and other factors could affect our ability to meet our obligations or cause significant increases in the market price of replacement capacity and electricity.</w:t>
      </w:r>
    </w:p>
    <w:p>
      <w:pPr>
        <w:spacing w:after="0" w:line="14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also buy some of our fuel and other consumables on a short-term or spot market basis. Prices for all of our fuels and other products fluctuate, sometimes rising or falling significantly over a relatively short period of time. The price we can obtain for the sale of electricity may not rise at the same rate, or may not rise at all, to match a rise in fuel and other products or their delivery costs. This may have a material adverse effect on our financial performance.</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retirement and potential reorganization of certain assets and subsidiaries could result in significant costs and have an adverse effect on our operating results.</w:t>
      </w:r>
    </w:p>
    <w:p>
      <w:pPr>
        <w:spacing w:after="0" w:line="105"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Since 2016, we have retired three economically nonviable coal-fired units, and we have committed to cease burning coal at Montour, Brandon Shores and Wagner by the end of 2025 and Brunner Island by the end of 2028.(However, for additional information on potential Reliability-Must-Run arrangements affecting Brandon Shores and Wagner, see Note 8 in Notes to the Interim Financial Statements.) In connection with the closure and remediation of retired generation units, we have spent, and may in the future spend, a significant amount of money, internal resources and time to complete the required closure and reclamation, which could result in significant costs and have a material adverse effect on our financial and operating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carrying value of our property, plant and equipment is subject to impairment charges.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used in operations is assessed for impairment whenever changes in facts and circumstances indicate the carrying amount of the asset group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the market conditions or the regulatory environment, we could experience future generation facility impairments, which may result in a material adverse effect on our financial conditions, results of operations and cash flows.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less than a majority of the ownership interests in certain of our generation facilities, we cannot exercise complete control over the related operations and are exposed to the risk associated with the collection of shared expenses from co-owners of jointly owned facilities.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limited control over the ownership, and in some cases, the operation of our joint-owned facilities, including the Conemaugh and Keystone generation facilities. We also own 30% of Colstrip Unit 3. We are subject to costs and output-sharing arrangements in respect of Colstrip Units 3 and 4 which are operated by Talen Montana. We seek to exert a degree of influence with respect to the management and operation of these generation facilities by either operating these facilities (i.e., Colstrip) or negotiating to obtain positions on management committees or to receive certain limited governance rights, but we may not always succeed in such negotiations.</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many instances we depend on these co-owners for elements of these arrangements that are important to the success of the joint operation, such as funding their proportional share of capital and operating costs. These co-owners may not have the level of experience, technical expertise, human resources management and other attributes necessary to operate these projects optimally. Moreover, some of these co-owners are rate regulated utilities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have significantly different economic incentives and obligations than our business. The ability of co-owners to meet their obligations under any joint operating or other agreement is outside our control. If our current or future co-owners are unable or fail to meet their obligations under these arrangements, the performance, success and value of these arrangements may be adversely affected, and we (as a joint owner) may be forced to undertake the obligations ourselves or incur additional expenses as a result. In such cases, we may also be required to enforce our rights, which may cause disputes among our co-owners and us. If any of these events occur, they may adversely impact us, our financial performance and results of operations, these joint operations or our ability to enter into future joint operations.</w:t>
      </w:r>
    </w:p>
    <w:p>
      <w:pPr>
        <w:spacing w:after="0" w:line="1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retain and attract an appropriately qualified workforce, our financial position or results of operations could be negatively affected.</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Retaining key employees and attracting new employees are important to both our operational and financial performance. We cannot guarantee that any member of our leadership team or our key employees will continue to serve in any capacity for any particular period of time. An aging workforce, mismatch of skill set, expectation of future needs, uncertainty around the future of our aging assets or unavailability of short-term contract employees or contractors may lead to operating challenges and increased costs. The challenges that we might face as a result of such risks include a lack of human resources, losses to our operational knowledge base and the time and other resources required to develop new workers’ skills. In particular, our operations at Susquehanna are dependent on highly specialized personnel, and any prolonged absence by these persons may adversely impact our ability to operate. If we are unable to successfully retain and attract an appropriately qualified workforce, our financial position or results of operations could be negatively affected.</w:t>
      </w:r>
    </w:p>
    <w:p>
      <w:pPr>
        <w:spacing w:after="0" w:line="13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Further, we are also subject to the risk of strikes or work stoppages by unionized employees. As of March 31, 2024 after giving effect to the ERCOT Sale, we had 1,892 full-time employees, approximately 44% of which were represented by labor unions. In the event that our union employees participate in a strike, work stoppage or slowdown or engage in other forms of labor disruption, we would be responsible for procuring replacement labor and could experience reduced power generation or outages. Strikes, work stoppages or the inability to negotiate future collective bargaining agreements on favorable terms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our labor and benefit expenses, including health care and pension costs, could adversely affect our earnings and liquidity.</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expect to continue to face increased cost pressures in our operations because of increased costs of labor from heightened inflation, the need for higher-cost expertise in the workforce and other factors. Rising or persistently high inflation rates could have a material adverse effect on our business, financial condition, results of operations and liquidity. In addition, pursuant to collective bargaining agreements, we are contractually committed to provide specified levels of health care and pension benefits to certain current employees and retirees. We provide similar benefits to our non-union employees. Due to general inflation with respect to such costs, the aging demographics of our workforce, health care cost trends and other factors, we expect our health care costs, including prescription drug coverage, to continue to increase, despite measures that we have taken to reduce such costs.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our qualified defined benefit pension plans for our retirees and certain employees were underfunded by an estimated $333 million with a total benefit liability of an estimated $1.31 billion. We expect to continue to incur significant costs with respect to the defined benefit pension plans for our retirees and certain of our employees.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increase significantly. Further, without sustained growth in the pension investments over time, and depending upon the assumptions impacting costs listed above, we could be required to fund our plans with significant amounts of cash in advance of the time we would otherwise fund such payments. Future changes in funding requirements associated with our pension plans, including as a result of poor performance or inaccurate assumptions, or an adverse decision in the litigation related to the TERP (see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21"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Legal Matters—Pending Legal Matters—Pension Litigation”) could have a material adverse effect on our financial condition, results of operations and liquidity. Under the Employee Retirement Income Security Act of 1974, as amended (“ERISA”), the Pension Benefit Guaranty Corporation (“PBGC”) has the authority to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do not own or control the transmission facilities required to deliver the wholesale power from our generation facilities to load. In most cases, RTOs and ISOs operate transmission facilities and provide related services, administer organized power markets and maintain system reliability. Many of these RTOs and ISOs operate the real-time and day-ahead markets in which we sell electricity. The RTOs and ISOs that oversee most of the wholesale power markets impose, and may continue to impose, offer caps, price limitations and other mechanisms to guard against the potential exercise of market power in these markets. These and other regulatory mechanisms may adversely affect the profitability of our generation facilities that sell electricity and capacity into the wholesale power markets. Problems or delays that may arise in the formation and operation of maturing RTOs and similar market structures, or changes in geographic scope, rules or market operations of existing RTOs, may also affect our ability to sell, the prices we receive or the cost to transmit power produced by our generation facilities. Rules governing the various regional power markets may also change from time to time, which could affect our costs or revenues. As a result, our financial condition, results of operations, liquidity and cash flows may be materially adversely affected.</w:t>
      </w:r>
    </w:p>
    <w:p>
      <w:pPr>
        <w:spacing w:after="0" w:line="134"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FERC has issued regulations that require wholesale electricity transmission services, even when offered by parties other than RTOs and ISOs, to be offered on an open-access, non-discriminatory basis. Although these regulations are designed to encourage competition in wholesale market transactions for electricity, there is the potential that fair and equal access to transmission systems will not be available or that transmission capacity will not be available in the amounts we require. We cannot predict the timing of industry changes as a result of these initiatives or the adequacy of transmission facilities in specific markets or whether ISOs, RTOs or other transmission providers in applicable markets will efficiently operate transmission networks and provide related services.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There is also unpredictability around capacity revenues due to lack of reliable pricing and PJM Base Residual Auctions. The PJM market is undergoing significant restructuring due to recent weather events that have exposed systemic flaws, resulting in decline or delay in a substantial portion of capacity revenues. We cannot predict what these market reforms will look like or their impact on capacity revenues in the future. Please see Note 10 in Notes to the Interim Financial Statements and Note 12 in Notes to the Annual Financial Statements for more information on the capacity market and systemic risks in PJM.</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PJM has established capacity auction dates based upon FERC orders establishing rules for such capacity markets, but we cannot guarantee those auctions will take place on those dates or at all.</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power generation business competes with other non-utility generators, regulated utilities, unregulated subsidiaries of regulated utilities, other energy service companies and financial institutions. The competitive wholesale marketplace may be undermined by changes in market structure and the actions of federal or state entities, including out-of-market payments to nuclear facilities, renewable mandates or subsidies and out-of-market payments to new generators.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the U.S. Supreme Court a petition for certiorari asking the Court to review the December 2023 order of the Third Circuit. The final impacts on Talen’s financial condition, results of operations and liquidity are not known at this time.</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delays currently schedule the PJM Base Residual Auctions for 2025/2026 in July 2024, 2026/2027 in December 2024, 2027/2028 in June 2025 and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which could have a material adverse effect on our business, financial condition and results of operations.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related to the future profitability of our fossil fuel-fired power generation business and the amount and timing of associated environmental liabilities.</w:t>
      </w:r>
    </w:p>
    <w:p>
      <w:pPr>
        <w:spacing w:after="0" w:line="10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Many political and regulatory authorities, along with certain financing sources and environmental groups, are devoting substantial resources and efforts to minimize or eliminate the use of fossil fuels as a source of electricity generation, domestically and internationally, thereby reducing the demand and pricing for electricity generated at fossil fuel-fired generation facilities and potentially materially and adversely impacting our future financial results, liquidity, ability to raise capital and growth prospects.</w:t>
      </w:r>
    </w:p>
    <w:p>
      <w:pPr>
        <w:spacing w:after="0" w:line="12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Concerns about the environmental impacts of fossil fuel combustion, including impacts on global climate issues, are resulting in increased regulation of coal combustion and greenhouse gas (“GHG”) emissions, unfavorable lending policies toward the financing of fossil fuel-fired power generation facilities and divestment efforts affecting the investment community, which could significantly affect demand for our products or our securities. Climate issues continue to attract public, scientific and governmental attention to global climate issues and to emissions of GHGs. Changes to the legal and regulatory framework governing electricity generation resulting from such concerns could have a material adverse effect on our operations, cash flow and financial condition. For example, the new water, waste, air and climate rules recently finalized by the EPA could require us to incur costs to comply if they withstand legal challenges. These costs include asset modifications and potential emission control equipment investments, as well as reporting requirements. See “Business—Environmental Matters” for additional information on these new rules. Furthermore, any new legislation or regulatory programs could also increase the cost of consuming, and thereby reduce demand for, the power we produce.</w:t>
      </w:r>
    </w:p>
    <w:p>
      <w:pPr>
        <w:spacing w:after="0" w:line="13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Enactment of laws or passage of regulations regarding emissions from the combustion of coal, natural gas or oil by the United States, some of its states or other countries, or other actions to limit such emissions, could also result in electricity generators further switching from coal or natural gas to other fuel sources or additional fossil fuel-fired power generation facility closures. We operate an aging fossil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legal and regulatory requirements related to coal-fired generation operations and CCR could have a material and adverse effect on our results of operations, cash flows and liquidity.</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the relevant legal and regulatory requirements, we perform certain activities to manage large quantities of CCR material resulting from decades of coal-fired electric generation. In particular, Talen Montana has significant decommissioning and environmental remediation liabilities primarily consisting of its proportionate share of remediation, closure and decommissioning costs for coal ash impoundments at the Colstrip Units. Where applicable, we carry the expected cost of these obligations within our ARO liabilities. Actual cash expenditures associated with these AROs are expected to materially increase over the next five years due to the expected timing and scope of anticipated remediation activities and will continue at a reduced spending level for several decades. Moreover, new regulations recently finalized by the EPA impose changed and additional requirements that could affect the expected timing, scope of work and its complexity, expected costs for labor and materials, removal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1"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remediation techniques. See “Business—Environmental Matters” for additional information on these new rules. Future adjustments to the Talen Montana ARO estimates, as well as adjustments to other coal ash ARO estimates, may be required due to the ongoing remediation requirements under state obligations and federal rules, which could have an adverse effect on our business, financial condition and results of operations. If the assumptions underlying these ARO estimates do not materialize as expected, actual cash expenditures and costs could be materially different than estimated. Please see Note 9 in Notes to the Interim Financial Statements and Note 11 in Notes to the Annual Financial Statements for more information on AROs and Note 10 in Notes to the Interim Financial Statements for additional information on new EPA rules that may impact AROs.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and operation of a nuclear power facility subjects us to regulations, costs and liabilities uniquely associated with these types of facilities.</w:t>
      </w:r>
    </w:p>
    <w:p>
      <w:pPr>
        <w:spacing w:after="0" w:line="17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Under the Atomic Energy Act of 1954, as amended, our operation and 90% ownership of Susquehanna are subject to regulation by the NRC, including requirements pertaining to: licensing, inspection and enforcement; testing, evaluation and modification of all aspects of nuclear reactor power generation facility design and operation; environmental and safety performance; technical and financial qualifications; decommissioning funding assurance; and transfer and foreign ownership restrictions. The current facility operating licenses for our two units at Susquehanna expire in 2042 and 2044.</w:t>
      </w:r>
    </w:p>
    <w:p>
      <w:pPr>
        <w:spacing w:after="0" w:line="11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NRC could permanently or temporarily shut down Susquehanna, require it to modify its operations or refuse to permit restart of the unit after unplanned or planned outages. As a result of any shutdown or forced outage, we may face additional costs to the extent we are obligated to provide power from more expensive alternative sources to cover our then-existing forward sale obligations, as well as substantial costs related to the storage and disposal of radioactive materials and SNF. In addition, Susquehanna will be obligated to continue storing SNF if the U.S. DOE continues to fail to meet its contractual obligations under the U.S. Nuclear Waste Policy Act of 1982 to accept and dispose of Susquehanna’s SNF.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Susquehanna NDT funds.</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New or amended NRC safety and regulatory requirements may give rise to additional operation and maintenance costs and capital expenditures. Additionally,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and could have a material adverse effect on our business, financial condition or results of operations. See “—Commercial and Operational Risks —Our ownership and operation of Susquehanna, which contributes a majority of our earnings associated with electric generation, subjects us to substantial risks associated with nuclear generation.”</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While Susquehanna maintains property and liability insurance for losses related to nuclear operations at Susquehanna and is subject to NRC insurance requirements and the Price-Anderson Act scheme, there may be limitations on the amounts and types of insurance commercially available, or we may have insufficient coverage with respect to any such losses. Uninsured losses and other liabilities and expenses resulting from an incident at Susquehanna, to the extent not recovered from insurers or the nuclear industry, could be borne by us.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results of operations, cash flows, financial condition and liquidity.</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to comply with state, federal and local statutes, rules and regulations relating to environmental protection and worker health and safety could be material and could cause the continued operation of certain of our generation facilities to be uneconomic.</w:t>
      </w:r>
    </w:p>
    <w:p>
      <w:pPr>
        <w:spacing w:after="0" w:line="10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business and facilities are subject to extensive federal, state and local statutes, rules and regulations relating to environmental protection and human health and safety, which have become more stringent over time. These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and regulations impose numerous requirements, including requiring permits to conduct regulated activities, incurring costs to limit or prevent pollution or releases of regulated materials to the environment, imposing specific standards addressing worker protection and process safety, and imposing substantial liabilities and remedial obligations for pollution or contamination. If there is any delay in obtaining any environmental regulatory approvals necessary for our operations or capital projects, or failure to obtain, maintain or comply with any such approvals, operations at our affected facilities could be halted, reduced or subjected to additional costs. New or more stringent enforcement of existing laws or regulations could adversely affect our business, financial condition and results of operations.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various factors, including existing and recently revised rules and regulations, such as those pertaining to water, waste, air (including GHG regulations) and climate, we have spent, and expect to continue to spend, substantial amounts on measures regarding environmental control, compliance and remediation. See “Business—Environmental Matters” for additional information on new water, waste, air and climate rules recently finalized by the EPA. We anticipate that certain of these new EPA rules will be legally challenged; the outcome of our spend will depend on the success and timing of such challenges, which we cannot currently predict.</w:t>
      </w:r>
    </w:p>
    <w:p>
      <w:pPr>
        <w:spacing w:after="0" w:line="129" w:lineRule="exact"/>
        <w:rPr>
          <w:sz w:val="20"/>
          <w:szCs w:val="20"/>
          <w:color w:val="auto"/>
        </w:rPr>
      </w:pPr>
    </w:p>
    <w:p>
      <w:pPr>
        <w:ind w:right="220" w:firstLine="324"/>
        <w:spacing w:after="0" w:line="272" w:lineRule="auto"/>
        <w:rPr>
          <w:sz w:val="20"/>
          <w:szCs w:val="20"/>
          <w:color w:val="auto"/>
        </w:rPr>
      </w:pPr>
      <w:r>
        <w:rPr>
          <w:rFonts w:ascii="Times New Roman" w:cs="Times New Roman" w:eastAsia="Times New Roman" w:hAnsi="Times New Roman"/>
          <w:sz w:val="17"/>
          <w:szCs w:val="17"/>
          <w:color w:val="auto"/>
        </w:rPr>
        <w:t>The EPA regulates GHG emissions from the power sector and certain states regulate carbon dioxide emissions from power generation facilities. The EPA recently finalized GHG standards for new and certain existing power plants. These regulations primarily affect higher-emitting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Failure to comply with applicable laws, regulations and permits may result in liability for administrative, civil or criminal fines or penalties or in unforeseen costs or obligations, including requirements to install additional equipment or make substantial changes to our operations. In addition, private parties may also have the right to pursue legal actions to enforce compliance, as well as seek damages for non-compliance, with environmental laws, regulations and permits.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changes in applicable laws and regulations.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conduct of our business is subject to various laws and regulations administered by federal, state and local governmental agencies. In addition, changes in state laws and regulations may be less predictable or could occur more rapidly, or have a more drastic effect, than changes at the federal level. Changes in laws and regulations occur frequently and sometimes dramatically, as a result of political, economic or social events or in response to significant events. For example, economic downturns, periods of high energy supply costs and other factors can lead to changes in, or the development of, legislative and regulatory policy designed to promote reductions in energy consumption, increased energy efficiency, renewable energy and self-generation by customers. Such a focus may result in a decline in electricity demand, which could in turn adversely affect our business. Any change in the legal and regulatory landscape (including the processes for obtaining or renewing permits, costs associated with providing healthcare benefits to employees, health and safety standards, accounting standards, taxation regulations and requirements and competition laws) may have a material adverse effect on our results of operations, competitive position or financial condition. See “Business—Environmental Matters” for additional information on new water, waste, air and climate rules recently finalized by the EPA.</w:t>
      </w:r>
    </w:p>
    <w:p>
      <w:pPr>
        <w:spacing w:after="0" w:line="140" w:lineRule="exact"/>
        <w:rPr>
          <w:sz w:val="20"/>
          <w:szCs w:val="20"/>
          <w:color w:val="auto"/>
        </w:rPr>
      </w:pPr>
    </w:p>
    <w:p>
      <w:pPr>
        <w:jc w:val="both"/>
        <w:ind w:right="480" w:firstLine="324"/>
        <w:spacing w:after="0" w:line="289" w:lineRule="auto"/>
        <w:rPr>
          <w:sz w:val="20"/>
          <w:szCs w:val="20"/>
          <w:color w:val="auto"/>
        </w:rPr>
      </w:pPr>
      <w:r>
        <w:rPr>
          <w:rFonts w:ascii="Times New Roman" w:cs="Times New Roman" w:eastAsia="Times New Roman" w:hAnsi="Times New Roman"/>
          <w:sz w:val="17"/>
          <w:szCs w:val="17"/>
          <w:color w:val="auto"/>
        </w:rPr>
        <w:t>Separately, the wholesale energy markets vary from region to region with distinct rules, practices and procedures. Changes in these market rules, problems with rule implementation and compliance or failure of any of these markets could have a material adverse effect on our business, results of operations, cash flows and financial condition. See “Business—Regulatory Matters” for additional information about ongoing market reforms.</w:t>
      </w:r>
    </w:p>
    <w:p>
      <w:pPr>
        <w:spacing w:after="0" w:line="10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During Winter Storm Elliott, certain of our generation facilities failed to meet the Capacity Performance requirements set forth by PJM, while our remaining generation facilities met or exceeded their capacity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21" w:right="3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result, we incurred certain Capacity Performance penalties charged by PJM for our under-performing facilities and earned bonus revenues from PJM for our over-performing generation facilities. Accordingly, Talen Energy Marketing recognized in 2022 and 2023 a net penalty charge, of approximately $51 million, net of expected bonus revenues. Talen Energy Marketing and its affiliates, along with other suppliers, subsequently filed complaints against PJM at FERC disputing a significant portion of the penalties assessed by PJM. In December 2023, FERC approved a market-wide settlement that resolved the disputes. As a result, Talen’s estimated aggregate penalties, net of expected bonus revenues, were reduced from $51 million to $28 million, but no assurance can be provided that these amounts will not vary based on the final market settlements or any other legal and (or) regulatory actions.</w:t>
      </w:r>
    </w:p>
    <w:p>
      <w:pPr>
        <w:spacing w:after="0" w:line="13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future, we are highly likely to face additional severe weather events, which are inherently unpredictable in nature, location, scope and timing, and which may give rise to investigations or other efforts to determine the causes or consequences of such events. Any such efforts may result in further changes to applicable laws and regulations, mandatory reliability requirements and market rules, which could affect our liquidity and results of operations, all of which are unpredictable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and cost of emission allowances could negatively impact our operating costs.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maintain, through either allocations or purchases, sufficient emission allowances for sulfur dioxide, nitrogen oxide and carbon dioxide to support our operations in the ordinary course of operating our power generation facilities. These allowances are used to meet the obligations imposed on us by various applicable environmental laws. Given the historical correlation between rising natural gas prices and increasing prices for wholesale electricity, we may idle our units less as natural gas prices increase, resulting in an increase in emissions.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If such allowances are available for purchase, but only at significantly higher prices, the purchase of such allowances could materially increase our costs of operations in the affected markets.</w:t>
      </w:r>
    </w:p>
    <w:p>
      <w:pPr>
        <w:spacing w:after="0" w:line="13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laws and rules dealing with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whose terms are not yet fully known. As such, we cannot fully predict the impacts that any such tax credits may have on our liquidity or results of operations. We are continuing to evaluate the Inflation Reduction Act and its requirements, as well as its application to us. Any elimination of the Nuclear PTC may adversely affect our business and financial condition.</w:t>
      </w:r>
    </w:p>
    <w:p>
      <w:pPr>
        <w:spacing w:after="0" w:line="13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operations. This could result in a material and adverse effect on our consolidated income tax provision, financial position and the net income/loss for the period for which such determinations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1"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attributes, including net operating loss carryforwards, remaining following Emergence, if any, may be limited.</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 billion of U.S. federal net operating loss (“NOL”) carryforwards and approximately $1.4 billion of disallowed business interest expense carryforwards under Section 163(j) of the Code and certain other tax attributes (including significant tax basis in assets). However, we expect that, absent an election under Section 108(b)(5), we will be required to substantially reduce or eliminate certain of our tax attributes, including NOL carryforwards, as a result of cancellation of indebtedness income realized in connection with the Restructuring. We are still considering whether we will make a Section 108(b)(5) election to reduce fixed asset tax basis prior to any reduction in NOL carryforwards.</w:t>
      </w:r>
    </w:p>
    <w:p>
      <w:pPr>
        <w:spacing w:after="0" w:line="1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state interference in the competitive marketplaces.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generation and wholesale power sales business relies on a competitive marketplace. The competitive marketplace may be impacted by out-of-market subsidies provided by states or state entities, including bailouts of uneconomic nuclear facilities,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marketplace, which can lead to premature retirement of existing facilities, including those owned by us. If these measures continue, capacity and energy prices may be suppressed, and we may not be successful in our efforts to insulate our platform from this interference in the competitive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litigation arising out of our operations. Damages claimed under such litigation may be material, and the outcome of such litigation may materially adversely impact our financial condition, cash flows, results of operations and liquidity. While we will assess the merits of any lawsuits and defend such lawsuits accordingly, we may be required to incur significant expense or devote significant financial resources to such defenses. In addition, the adverse publicity surrounding such claims may have a material adverse effect on our operations. Our insurance may not adequately cover losses for damages claimed against us, and we do not have insurance coverage for all litigation risks. Please see Note 10 in Notes to the Interim Financial Statements, Note 12 in Notes to the Annual Financial Statements, and “Business—Legal Matters” for more information regarding our litigation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and access liquidity may be affected by increased focus on our fossil fuel-fired power generation business.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recent years, shifting worldwide social and political views toward the environment, including uncertainty or instability resulting from climate change, changes in political leadership and environmental policies, changes in geopolitical-social views toward fossil fuels and concern about investors’ expectations regarding environmental matters, have necessitated changes in fossil fuel-related industries. Many institutional investors have recently adopted environmental investing guidelines that may prevent them from increasing or taking new stakes with companies with exposure to fossil fuels, including lending to energy companies that rely even in part on fossil fuels. Additional institutional investors may adopt similar investment guidelines in the future. Limitation of investments in, or financings for, companies with a fossil fuel-fired power generation business could adversely affect our ability to obtain equity or debt financing or otherwise raise capital,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have sufficient access to financing for our business.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primary liquidity requirements, in addition to our ordinary course operating expenses, are for servicing our debt and capital expenditures and, in certain cases, providing collateral for our hedging program. If our sources of liquidity are not sufficient to fund our current or future liquidity needs, we may be required to take other actions, including refinancing, restructuring or reorganizing all or a portion of our debt or capital structure, reducing or delaying capital investments or obtaining alternative financing. Our ability to obtain financing is subject to numerous factors that we may not be able to control, including conditions in the capital markets, our current operations, credit ratings and other events which we are not able to predict. Furthermore, any financing may be at a higher cost than we expect or have other security, collateral or other conditions or requirements. Additionally, applicable regulations may impose costly additional requirements on our business and the businesses of others with whom we contract or may increase costs to conduct our business or access sources of capital and liquidity. There can be no assurance that we will be able to obtain financing on commercially reasonable terms, or at all, or in a manner that would be permitted under the terms of our debt instruments or in a manner that does not negatively impact our business. Additionally, there can be no assurance that the above actions, if taken, would allow us to meet our debt obligations and operating requirements.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indicative of our future financial performance.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capital structure was significantly altered under the Plan of Reorganization. Upon Emergence, we adopted fresh-start accounting, which required us to adjust our assets and liabilities to fair value and restate our accumulated deficit to zero. In addition, we adopted accounting policy changes and such policies could result in material changes to our financial reporting and results. Accordingly, our financial condition and results of operations following the Restructuring are not comparable to the financial condition and results of operations reflected in our Annual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impair our ability to operate our business.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indebtedness, including the Indenture and the Credit Facilities, could have important consequences to our future financial condition, operating results and business, including the following:</w:t>
      </w:r>
    </w:p>
    <w:p>
      <w:pPr>
        <w:spacing w:after="0" w:line="108"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cash flows from operations be dedicated to payments on our indebtedness instead of operations, capital expenditures, future business opportunities or other purposes;</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debt or equity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and economic conditions and to carry out capital spending that is important to our growth.</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the Credit Facilities, the Indenture and other existing indebtedness contain restrictions on the incurrence of additional indebtedness, these restrictions are subject to a number of qualifications and exceptions, and any additional indebtedness incurred in compliance with these restrictions could be substantial. See “—Risks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“Management’s Discussion and Analysis of Financial Condition and Results of Operations—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subjects us to the risk of higher interest rates, which could cause our future debt service obligations to increase significantly.</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borrowings under the Credit Facilities are at variable rates of interest and expose us to interest rate risk. If interest rates increase, our debt service obligations on such variable rate indebtedness would increase even 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121" w:right="4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amount borrowed remained the same, and our ability to make payments of principal and interest on the Secured Notes (as well as on loans with respect to the Credit Facilities) may be adversely impacted.</w:t>
      </w:r>
    </w:p>
    <w:p>
      <w:pPr>
        <w:spacing w:after="0" w:line="1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various covenants that impose restrictions on TES and certain of its subsidiaries that may affect our ability to operate our business and to make payments on our indebtedness.</w:t>
      </w:r>
    </w:p>
    <w:p>
      <w:pPr>
        <w:spacing w:after="0" w:line="10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debt agreements, including the Indenture and the agreements governing the Credit Facilities, contain covenants that, among other things, limit the ability of TES and certain of its subsidiaries to, among other things:</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upon any principal property to secure debt for borrowed 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or repurchase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lease or transfer all or substantially all of our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agreements governing our Credit Facilities, enter into transactions with affiliates.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on our ability to operate our business could seriously harm our business by, among other things, limiting our ability to take advantage of financings, mergers, acquisitions and other corporate opportunities. Various risks, uncertainties and events beyond our control could affect our ability to comply with these covenants. Failure to comply with the covenants in our existing or future financing agreements could result in a default under those agreements and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which could adversely affect our financial condition and results of operations and could cause us to become bankrupt or insolvent.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Strategic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 development activities through our Cumulus Affiliates may consume a significant portion of our management’s focus and resources, and if not completed or successful, reduce our profitability.</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project development activities related to the Cumulus projects may consume a significant portion of our management’s focus, and if not completed or successful, reduce our profitability. TES currently provides corporate, administrative and operational services to the Cumulus Affiliates. As a result, the operations and activities of the Cumulus Affiliates may divert the attention and impact the availability of TES personnel. The Cumulus projects may also require us to spend significant sums for engineering, construction, permitting, legal, financial advisory and other expenses before we determine whether a development project is feasible, economically attractive or capable of being financed. In addition, the economic assumptions underlying one or more of the Cumulus projects may prove to be incorrect or materially different than projected, which may cause us to reevaluate pursuing or further investing in a particular project.</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Cumulus projects may be complex, which increases the chances that we may not be able to complete them. There can be no assurance that we will be able to negotiate the required agreements, overcome any local opposition or obtain the necessary approvals, licenses, permits and financing. Failure to achieve any of these elements may prevent the development and construction of a project. If that were to occur, we could lose all of our investment in development expenditures and may be required to write-off project development assets. It is not uncommon for neighboring landowners and other third parties to file claims for personal injury and property damage allegedly caused by noise.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1"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Through certain Cumulus Affiliates, we are party to joint venture agreements with various third parties, including Pattern Energy and BQ Energy Development, LLC for potential solar and wind projects. Additionally, Cumulus Coin holds a 75% equity interest in Nautilus, with TeraWulf as our joint venture partner. Conflicts may arise with our joint venture or joint owner counterparties due to differing strategic or commercial objectives or disagreement on governance matters or whether a project merits continued investment. A deadlock in management decisions could cause us to sell our interest in the project or buy our joint venture partner’s interest. We may also be subject to the risk that our counterparties do not fund their obligations and to preserve the value of our investment, we may be required to expend additional internal resources that could otherwise be directed to other projects. Conversely, if we no longer desire to invest in a project, our counterparties may determine to cover our investment which may dilute our interests and lead to a loss of voting or other rights in the project. If we are unable to successfully execute and manage our existing and proposed joint venture and jointly owned projects, the anticipated benefits associated with such arrangements may not be achieved or could be delayed, which could adversely impact our financial and operating results. See “Certain Relationship and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costs and disruptions could impact construction and operation of renewable energy and digital infrastructure projects.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and time required to develop new renewable and digital infrastructure projects are considerable and can increase due to a wide variety of factors, many of which are beyond our control. These include, but are not limited to, weather conditions, ground conditions, availability of construction material, availability and performance of contractors and suppliers, changes in cost or construction schedules, inflation, delivery and installation of equipment, design changes, accuracy of estimates, availability of accommodations for the workforce, change in laws or regulations and the ability to obtain necessary government approvals. In addition, the Cumulus Data Campus’s and Nautilus’s operations are and will be powered exclusively by electricity generated at Susquehanna. Any disruption or outage at Susquehanna affecting its ability to generate sufficient electricity for Cumulus Data operations (including submetered electricity to Nautilus) could have a material adverse effect on their respective businesses,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interest in and operation of a Bitcoin mining facility subjects us to certain risks.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While we expect to maintain our existing Bitcoin operations through our interest in Cumulus Coin, we do not currently plan to expand such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expect any material capital expenditures within the next twelve months. Nonetheless, our existing Bitcoin operations do expose us to certain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Almost all of Cumulus Coin’s expected revenue is from the sale of Bitcoin mined by Nautilus. Investing in Bitcoin is speculative, as it has historically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experienced significant intraday and long-term price volatility. For example, during 2023, the per-coin price of Bitcoin reached a low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$16,500 and a high of approximately $44,700. If the price of Bitcoin declines, Cumulus Coin’s profitability will decline, which would adversely affect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prospects, financial condition, and results of operation of Nautilus and Cumulus Coin.</w:t>
      </w:r>
    </w:p>
    <w:p>
      <w:pPr>
        <w:spacing w:after="0" w:line="153"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Additionally, digital assets, including Bitcoin, are under increasing regulatory scrutiny, and the extent and content of any forthcoming laws and regulations are uncertain. New laws and increased regulation could result in new compliance-related costs for Cumulus Coin’s operations, result in regulation of Bitcoin under the securities laws or restrict or eliminate the Bitcoin market, which could negatively affect the value of Cumulus Coin’s operations and may result in expense or burdens to us.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Furthermore, cryptocurrency assets are generally controllable only by the possessor of the unique private key relating to the digital wallet in which such assets are held. To the extent that any of the private keys relating to wallets containing Bitcoin held by Nautilus are lost, destroyed, stolen or otherwise compromised or unavailable, Nautilus would be unable to access the Bitcoin held in the related wallet.</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Moreover, as a reward for successfully solving cryptological blocks, Bitcoin miners are primarily compensated in newly issued Bitcoin. However, the Bitcoin reward paid to Bitcoin miners for successfully solved cryptological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blocks is periodically reduced by half according to a pre-determined schedule. While Bitcoin prices may fluctuate around such reward reductions, there can be no guarantee that any price fluctuations associated with reward reductions will be favorable or would compensate for the reduction in reward, which may lead Bitcoin miners, such as Nautilus, to forgo Bitcoin mining, thus reducing the profitability of Nautilus’s and Cumulus Coin’s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or divestiture activities may have an adverse effect on us.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seek to acquire additional assets or businesses. The acquisition of new assets or businesses is subject to substantial risks, including delays in completion or an inability to complete them at all, the failure to identify material problems during due diligence, the risk of over-paying, the ability to retain customers or employees of such acquired businesses and the inability to arrange required or desired financing for an acquisition. We may acquire assets or businesses in geographic regions or markets in which we do not currently operate or lines of business outside of our core focus, which may expose us to increased market or regulatory risks. There can be no assurances that any future acquired businesses will perform as expected or that the returns from such acquisitions will support any related financing incurred or the cash flows needed to operate them profitably.</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choose to sell certain assets or businesses. The risks of such dispositions may relate to employment matters, counterparties, regulators and other stakeholders in the disposed business, separating the disposed assets from our other businesses, the management of our ongoing business, as well as risks unknown to us at the time and other financial, legal and operational risks related to such disposition. In connection with such dispositions, we may also indemnify or guarantee counterparties against certain liabilities, which may result in future costs or liabilities payable by us. Any such risk may result in one or more costly disputes or litigation. In addition, any disposition would decrease our Adjusted EBITDA, which could impact our ability to pay dividends or effect share repurchases under our debt agreements. The failure to realize the anticipated returns or benefits from an acquisition or disposition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There was no public market for our common stock prior to commencing trading on the OTC Pink Market on June 23, 2023 and subsequent commencement of trading on the OTCQX U.S. Market on July 24, 2023. We have applied to list our common stock for trading on Nasdaq under the symbol “TLN.” However, listing on Nasdaq does not ensure that an active trading market for our common stock will develop or be sustained. Accordingly, no assurance can be given as to the likelihood that an active trading market for our common stock will develop or be sustained, the liquidity of any such market or the ability of our stockholders to sell their common stock at the price desired.</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 could be subject to wide fluctuations in response to a number of factors, including those listed in this “Risk Factors” section of this prospectus and others. No assurance can be given that the market price of our common stock will not fluctuate or decline significantly in the future or that our stockholders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as well as any future issuances of equity or debt securities by us, may adversely affect the market price of our common stock, even if our business is doing well.</w:t>
      </w:r>
    </w:p>
    <w:p>
      <w:pPr>
        <w:spacing w:after="0" w:line="10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(particularly with respect to our affiliates, directors, executive officers or other insiders) could depress the market price of our common stock and could impair our future ability to obtain capital, especially through an offering of equity securities. If there are more shares of common stock offered for sale than buyers are willing to purchase, then the market price of our common stock may decline. In the future, we may issue additional shares to our employees, directors or consultants under our equity compensation plans, in connection with corporate alliances or acquisitions, or to raise capital. Due to these factors, sales of a substantial number of shares of our common stock in the public market could occur at any time.</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Any future debt financing could involve restrictive covenants relating to our capital-raising activities and other financial and operational matters, which might make it more difficult for us to obtain additional capital and to pursue business opportunities. Moreover, if we issue debt securities, the debt holders would have rights to make claims on our assets senior to the rights of our stockholders. The issuance of equity securities or securities convertible into equity may dilute our existing stockholders. Debt securities convertible into equity could be subject to adjustments in the conversion ratio pursuant to which certain events may increase the number of equity securities issuable upon conversion.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whether by dividends, distributions, loans or otherwise, will depend on, among other things, such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 Furthermore, the agreements governing the indebtedness of TES contain provisions restricting the ability of those entities to pay dividends or otherwise transfer assets to TEC.</w:t>
      </w:r>
    </w:p>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Indenture and Credit Facilities restrict the ability of TES to pay dividends or distributions to TEC, subject to certain exceptions. Notable exceptions include the ability to pay dividends or distributions: (1) in an amount not to exceed $160 million ,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“—Financial and Liquidity Risks—Our debt agreements contain various covenants that impose restrictions on TES and certain of its subsidiaries that may affect our ability to operate our business and to make payments on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any dividends on our common stock in the future.</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capital requirements, market conditions, our growth strategy and the availability of growth opportunities, contractual restrictions (including restrictions on the payment of dividends imposed by the Credit Facilities and the Indenture), our level of indebtedness and other restrictions with respect to the payment of dividends, applicable law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stockholders could be able to significantly influence our business and affairs.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three largest TEC stockholders collectively own approximately 35.2% of our outstanding common stock (the “Principal Stockholders”). Large holders such as the Principal Stockholders may be able to affect matters requiring approval by our stockholders, including the election of directors and the approval of mergers or other business combination transactions. See “Principal and Selling Stockholders.”</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if they publish unfavorable or inaccurate research about our business and common stock, the price of our common stock and the trading volume could decline.</w:t>
      </w:r>
    </w:p>
    <w:p>
      <w:pPr>
        <w:spacing w:after="0" w:line="10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expect that the trading market for our common stock will be affected by research or reports that industry or financial analysts publish about us or our business. There are many large, well-established companies active in our industry and portions of the markets in which we compete, which may mean that we receive unfavorable or less widespread analyst coverage than our competitors. If one or more of the analysts who covers us downgrades their evaluations of us or our common stock or TES or its indebtedness, the price of our common stock could decline. If one or more of these analysts cease coverage of us, our common stock may lose visibility in the market, which in turn could cause the price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as well as our organizational documents, contain anti-takeover provisions that could delay or prevent a change of control.</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Certificate of Incorporation of TEC (the “Charter”) and the Second Amended and Restated Bylaws of TEC (the “Bylaws”) contain provisions that could depress the market price of our common stock by acting to discourage, delay or prevent a change in control of TEC or changes in our management that stockholders may deem advantageous. These provisions in our Charter and Bylaws, among other things:</w:t>
      </w:r>
    </w:p>
    <w:p>
      <w:pPr>
        <w:spacing w:after="0" w:line="122" w:lineRule="exact"/>
        <w:rPr>
          <w:sz w:val="20"/>
          <w:szCs w:val="20"/>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the Board of Directors could issue to increase the number of outstanding shares to discourage a takeover attempt;</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transfers whereby, except for secondary market purchases (including secondary market purchases on Nasdaq), no person may purchase or otherwise acquire, and no stockholder of the Company may transfer to any person, shares of our common stock such that, after giving effect to such purchase, acquisition or other transfer, the holdings of the transferee, together with its “affiliates” (as such term is defined in 18 C.F.R. §35.36(a)(9)), directly or indirectly, would equal or exceed 10% of our outstanding voting securities, without the prior written consent of our Board of Directors;</w:t>
      </w:r>
    </w:p>
    <w:p>
      <w:pPr>
        <w:spacing w:after="0" w:line="129"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unless a written consent is signed by holders of outstanding common stock having not less than the minimum voting power that would be necessary to authorize such action at a meeting at which all shares of outstanding common stock entitled to vote thereon were presented and voted;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comprising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21"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amend or repeal our Bylaws;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as the sole and exclusive forum for certain types of actions and proceedings that may be initiated by our stockholders. See “Description of Capital Stock—Anti-Takeover Effects of Delaware Law and Our Charter and Bylaws.”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 party’s offer may be considered beneficial by many of our stockholders. As a result, our stockholders may be limited in their ability to obtain a premium for their shares of common stock. These provisions could also discourage proxy contests and make it more difficult for you and other stockholders to elect directors of your choosing and to cause us to take other corporate actions you desire.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increase our costs and distract management, and, as a result, we may be unable to comply with these requirements in a timely or cost-effective manner.</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need to comply with new laws, regulations and requirements, certain corporate governance provisions of the Sarbanes-Oxley Act of 2002 (the “Sarbanes-Oxley Act”), related regulations of the SEC and the requirements of Nasdaq, with which we were not required to comply as a private company. Complying with these statutes, regulations and requirements will occupy a significant amount of our time and may strain our resources, increase our costs and distract management, which may inhibit our ability to comply with these requirements in a timely or cost-effective manner.</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as a private company. While we generally must comply with Section 404 of the Sarbanes-Oxley Act, we may not be required to have our independent registered public accounting firm attest to the effectiveness of our internal controls until as late as our first annual report following the first entire fiscal year in which we are subject to reporting requirements of the Exchange Act. At any time, we may conclude that our internal controls, once tested, are not operating as designed or that the system of internal controls does not address all relevant financial statement risks. Once required to attest to control effectiveness, our independent registered public accounting firm may issue a report that concludes it does not believe our internal controls over financial reporting are effective. Moreover, management may not be able to effectively and timely implement controls and procedures that adequately respond to the increased regulatory compliance and reporting requirements that will become applicable after the consummation of this offering. If we identify material weaknesses in the future or otherwise fail to implement or maintain effective internal controls over financial reporting, we may not be able to accurately or timely report our financial condition or results of operations, which may subject us to adverse regulatory consequences, adversely affect our business and harm investor confidence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concerning expectations, beliefs, plans, objectives, goals, strategies, future events or performance and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forward-looking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risks and uncertainties include, but are not limited to:</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under the agreements governing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our level of indebtedness may place on our financial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the capital markets on favorable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flows from operations and other funds to finance reserve replacement costs or satisfy our debt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changes in the market price of electricity, natural gas and other commodities;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weather and the demand for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the competitive power generation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losses from pending or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 and compliance with government permits and approvals;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regulation of our fossil fuel and coal-fired power generation businesses and uncertainty surrounding the associated environmental liabilities and asset retirement obligations;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changes to environmental regulatory requirements related to coal-combustion byproducts, the operation and remediation of coal ash ponds and other regulatory oversight to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armed conflicts, war, terrorist attacks or threats and other significant events, including cyber-based attacks;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reliance on the operations and financial results of Susquehanna to fund our other operations and satisfy our liquidity and other financial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our operations on the environment, including the risk of exposure to hazardous substances;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Susquehanna, including risks relating to: (i) the operation of, and unscheduled outages at, the facility; (ii) the availability and cost of nuclear fuel and fuel-related components; (iii) increased nuclear industry security, safety and regulatory requirements; and (iv) the substantial uncertainty regarding the storage and disposal of SNF;</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continuation of capacity auctions in the PJM RTO, or changes to the capacity auction rules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21" w:right="37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potential concentrations of credit risk resulting from market counterparties, financial institutions, customers and other parties;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epidemics, outbreaks or other public health events that are outside of our control, and could significantly disrupt our operations and adversely affect our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disruptions in the supply of fuel and other products necessary for the operation of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or periods of reduced output at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transmission congestion, including due to line maintenance outages, on the realized margins of our generation fleet;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collection of shared expenses from co-owners of jointly owned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hedging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retain and attract a qualified workforce;</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price and credit risks associated with selling and marketing products in the wholesale power markets, including uncertainty around unknown future changes in market constructs, market responses (such as penalties) to extraordinary events and potential negative financial impacts (such as short payments) stemming from shortfalls of other market participants;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liquidity risks arising from our purchase and sale of power, capacity and related products, fuel, transmission services and emission allowances;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generation facilities being part of interconnected regional grids, including the risk of a blackout due to a disruption on a neighboring interconnected system;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cyber-based security and related integrity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including related changes in legislation, regulation, market rules or enforcement;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change in the structure and operation of, or the various pricing limitations imposed by, the RTOs and ISOs in regions where our generation is located;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otherwise successfully execute on our energy transition plans, including development of our renewable energy and battery storage projects, our ability to supply power to our digital infrastructure growth projects, and our efforts to repower facilities to run on alternate fuel sources, and the risk that our plans may not achieve its desired results;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relating to the Nautilus facility, including the risk of interruptions to the provision of power, as well as cyber or other breaches of its infrastructure;</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cryptocurrency mining, including price volatility of digital assets, increasing scrutiny from investors, lenders and other stakeholders and the likelihood of increased regulation of digital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identified in this prospectus.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forward-looking statements made in this prospectus.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21" w:right="39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60"/>
          </w:cols>
          <w:pgMar w:left="320" w:top="121" w:right="41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for resale by the Selling Stockholders, who may, or may not, elect to sell shares of our common stock covered by this prospectus. To the extent any Selling Stockholder chooses to sell shares of our common stock covered by this prospectus, we will not receive any proceeds from any such resales of our common stock, but we have agreed to pay certain registration expenses. The net proceeds from any resale of such shares will be received by the applicable Selling Stockholders. See the section titled “Principal and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21"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was quoted on the OTC Pink Market under the symbol “TLNE” from June 23, 2023 to July 23, 2023 and is currently quoted on the OTCQX U.S. Market under the symbol “TLNE,” where it has been traded since July 24, 2023. No established trading market existed for our common stock prior to June 23, 2023. The following table sets forth the per share high and low closing prices for our common stock as reported on the OTCQX U.S. Market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Per Share Sale Price</w:t>
            </w:r>
          </w:p>
        </w:tc>
      </w:tr>
      <w:tr>
        <w:trPr>
          <w:trHeight w:val="23"/>
        </w:trPr>
        <w:tc>
          <w:tcPr>
            <w:tcW w:w="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6"/>
                <w:szCs w:val="16"/>
                <w:color w:val="auto"/>
              </w:rPr>
            </w:pPr>
          </w:p>
        </w:tc>
        <w:tc>
          <w:tcPr>
            <w:tcW w:w="13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OTC Pink Market</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Second Quarter 2023 (for the period from June 23, 2023 through June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Quarter 2023 (for the period from July 1, 2023 through July 23,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OTCQX U.S. Market</w:t>
            </w: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2023 (for the period from July 24, 2023 through September 30,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 2023</w:t>
            </w:r>
          </w:p>
        </w:tc>
        <w:tc>
          <w:tcPr>
            <w:tcW w:w="30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w:t>
            </w:r>
          </w:p>
        </w:tc>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 2024 (for the period from April 1, 2024 through</w:t>
            </w:r>
          </w:p>
        </w:tc>
        <w:tc>
          <w:tcPr>
            <w:tcW w:w="30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spacing w:after="0"/>
              <w:rPr>
                <w:sz w:val="20"/>
                <w:szCs w:val="20"/>
                <w:color w:val="auto"/>
              </w:rPr>
            </w:pPr>
          </w:p>
        </w:tc>
      </w:tr>
      <w:tr>
        <w:trPr>
          <w:trHeight w:val="468"/>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w:t>
            </w:r>
          </w:p>
        </w:tc>
        <w:tc>
          <w:tcPr>
            <w:tcW w:w="7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 the closing price of our common stock as reported on the OTCQX U.S. Market was $</w:t>
            </w: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 share. As of</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there was one</w:t>
            </w:r>
          </w:p>
        </w:tc>
      </w:tr>
    </w:tbl>
    <w:p>
      <w:pPr>
        <w:spacing w:after="0"/>
        <w:rPr>
          <w:sz w:val="20"/>
          <w:szCs w:val="20"/>
          <w:color w:val="auto"/>
        </w:rPr>
      </w:pPr>
      <w:r>
        <w:rPr>
          <w:rFonts w:ascii="Times New Roman" w:cs="Times New Roman" w:eastAsia="Times New Roman" w:hAnsi="Times New Roman"/>
          <w:sz w:val="18"/>
          <w:szCs w:val="18"/>
          <w:color w:val="auto"/>
        </w:rPr>
        <w:t>stockholder of record of our common stock, not including beneficial owners of shares registered in nominee or street name.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to list our common stock for trading on Nasdaq, under the symbol “TLN.”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 distributions (payable in cash, property or capital stock of the Company) when, as and if declared thereon by the Board of Directors from time to time out of any assets or funds of the Company legally available for the payment of dividends and shall share equally on a per share basis in such dividends and distributions.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and other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2024. You should read the information set forth below together with our consolidated financial statements and the related notes contained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350,000,000 shares authorized; 59,028,843 shares issued and 58,535,843 shares outstanding</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493,000 shares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(the “Unaudited Pro Forma Financial Information”) consists of the Unaudited Pro Forma Condensed Consolidated Statement of Operations for the year ended December 31, 2023. The Unaudited Pro Forma Financial Information was prepared as if the Plan of Reorganization had become effective and fresh start accounting occurred on January 1, 2023. An unaudited pro forma condensed consolidated balance sheet has not been presented, as the Plan of Reorganization and fresh start accounting adjustments have already been fully reflected in the Consolidated Balance Sheet as of December 31, 2023. The unaudited pro forma condensed consolidated statements of operations give effect to (i) various transactions effected pursuant to the Plan of Reorganization and (ii) the application of fresh start accounting.</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was derived from and should be read in conjunction with the Talen Energy Corporation and Subsidiaries Consolidated Statements of Operations for the Period from January 1, 2023 through May 17, 2023 (Predecessor) and for the Period from May 18, 2023 through December 31, 2023 (Successor).</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as amended by the final rule, Release No. 33-10786, “Amendments to Financial Disclosures about Acquired and Disposed Businesses.”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Reorganization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Reorganization, among other things:</w:t>
      </w:r>
    </w:p>
    <w:p>
      <w:pPr>
        <w:spacing w:after="0" w:line="153" w:lineRule="exact"/>
        <w:rPr>
          <w:sz w:val="20"/>
          <w:szCs w:val="20"/>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prepetition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360" w:hanging="324"/>
        <w:spacing w:after="0" w:line="261" w:lineRule="auto"/>
        <w:tabs>
          <w:tab w:leader="none" w:pos="9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shares of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(and subsequently increased to $870 million in August 2023),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pro rata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pro rata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be contributed to the GUC Trust, subject to a cap of $11 million. Talen Montana contributed $11 million to the GUC Trust in December 2023 following the settlement of the PPL/Talen Montana litigation. See Note 12 in Notes to the Annual Financial Statements for additional information on the PPL/Talen Montana litigation and the related settlement.</w:t>
      </w:r>
    </w:p>
    <w:p>
      <w:pPr>
        <w:spacing w:after="0" w:line="1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Emergence, the combination of TES and TEC was accounted for as a reverse acquisition under GAAP,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TEC was treated as the accounting acquiree and TES as the accounting acquirer for financial reporting purposes.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guidance applicable to these circumstances, the combination of TEC and TES was in substance a share exchange in which the TES creditors became the controlling shareholders of TEC. As a result of TES being the accounting acquirer, the historical operations of TES are deemed to be those of TEC. As TEC was primarily a holding company with no operations, the accounting for the reverse acquisition of TEC had no material impact on the financial statements, and as a result, no pro forma adjustments are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Upon emergence from the Restructuring, TES adopted fresh start accounting, which resulted in TEC becoming a new entity for financial reporting purposes. As a result of fresh start accounting, TEC’s reorganization value was allocated to its individual assets and liabilities based on its fair values (except for deferred income taxes) in conformity with applicable guidance for business combinations. Deferred income tax amounts were determined in accordance with accounting guidance for income taxes. The estimated fresh start accounting adjustments give effect to the application of fresh start accounting to the unaudited condensed consolidated statement of operations assuming Emergence occurred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2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3"/>
                <w:szCs w:val="13"/>
                <w:color w:val="auto"/>
              </w:rPr>
            </w:pPr>
          </w:p>
        </w:tc>
        <w:tc>
          <w:tcPr>
            <w:tcW w:w="2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20" w:type="dxa"/>
            <w:vAlign w:val="bottom"/>
          </w:tcPr>
          <w:p>
            <w:pPr>
              <w:spacing w:after="0"/>
              <w:rPr>
                <w:sz w:val="11"/>
                <w:szCs w:val="11"/>
                <w:color w:val="auto"/>
              </w:rPr>
            </w:pPr>
          </w:p>
        </w:tc>
        <w:tc>
          <w:tcPr>
            <w:tcW w:w="16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Start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420" w:type="dxa"/>
            <w:vAlign w:val="bottom"/>
            <w:tcBorders>
              <w:right w:val="single" w:sz="8" w:color="auto"/>
            </w:tcBorders>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2,554</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0"/>
                <w:szCs w:val="10"/>
                <w:color w:val="auto"/>
              </w:rPr>
              <w:t>(d)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w w:val="97"/>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1"/>
                <w:szCs w:val="11"/>
                <w:color w:val="auto"/>
                <w:w w:val="97"/>
              </w:rPr>
              <w: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(1,259) </w:t>
            </w:r>
            <w:r>
              <w:rPr>
                <w:rFonts w:ascii="Times New Roman" w:cs="Times New Roman" w:eastAsia="Times New Roman" w:hAnsi="Times New Roman"/>
                <w:sz w:val="10"/>
                <w:szCs w:val="10"/>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2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(1,193)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gridSpan w:val="3"/>
          </w:tcPr>
          <w:p>
            <w:pPr>
              <w:jc w:val="right"/>
              <w:ind w:right="459"/>
              <w:spacing w:after="0"/>
              <w:rPr>
                <w:sz w:val="20"/>
                <w:szCs w:val="20"/>
                <w:color w:val="auto"/>
              </w:rPr>
            </w:pPr>
            <w:r>
              <w:rPr>
                <w:rFonts w:ascii="Times New Roman" w:cs="Times New Roman" w:eastAsia="Times New Roman" w:hAnsi="Times New Roman"/>
                <w:sz w:val="11"/>
                <w:szCs w:val="11"/>
                <w:color w:val="auto"/>
                <w:w w:val="97"/>
              </w:rPr>
              <w:t>(c)</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0"/>
                <w:szCs w:val="10"/>
                <w:color w:val="auto"/>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 (in thousands)</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 (in thousands)</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sets forth the combined results of operations of: (i) Talen Energy Supply, LLC (“TES” or the “Predecessor”) for the period from January 1 through May 17, 2023 (Predecessor), (ii) Talen Energy Corporation (“TEC” or the “Successor”) for the period, from May 18 through December 31, 2023 (Successor), and (iii) pro forma impacts to the Successor after giving effect to Plan of Reorganization and the application of fresh start accounting as if the Plan of Reorganization and application of fresh start accounting had occurred on January 1,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and is provided to give effect to:</w:t>
      </w:r>
    </w:p>
    <w:p>
      <w:pPr>
        <w:spacing w:after="0" w:line="27" w:lineRule="exact"/>
        <w:rPr>
          <w:sz w:val="20"/>
          <w:szCs w:val="20"/>
          <w:color w:val="auto"/>
        </w:rPr>
      </w:pPr>
    </w:p>
    <w:p>
      <w:pPr>
        <w:ind w:right="240" w:firstLine="8"/>
        <w:spacing w:after="0" w:line="253"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transactions effected pursuant to the Plan of Reorganization, including the incurrence by TES of indebtedness and the issuance of new TEC equity at Emergence; and (ii) the application of fresh start accounting.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Plan of Reorganization and Fresh Start Adjustments</w:t>
      </w:r>
    </w:p>
    <w:p>
      <w:pPr>
        <w:spacing w:after="0" w:line="175" w:lineRule="exact"/>
        <w:rPr>
          <w:sz w:val="20"/>
          <w:szCs w:val="20"/>
          <w:color w:val="auto"/>
        </w:rPr>
      </w:pPr>
    </w:p>
    <w:p>
      <w:pPr>
        <w:ind w:left="660" w:right="280" w:hanging="328"/>
        <w:spacing w:after="0" w:line="261"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to eliminate interest expense, associated fees, and financing costs related to prepetition debt and the Talen Commodity Accordion RCF. The pro forma interest expense reflects interest, bank fees, and LC fees. A one-eighth percent change in the interest rates on the outstanding variable rate borrowings would result in an approximate change of $1 million in interest expense for the year ended December 31, 2023.</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Chapter 11 reorganization items, which consist of an aggregate fresh start adjustment of $460 million related to losses on revaluation adjustments for the year ended December 31, 2023, and the following reorganization adjustments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contract terminations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Reorganization Adjustments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160" w:hanging="328"/>
        <w:spacing w:after="0" w:line="266"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income tax benefit (expense) related to the Income (Loss) Before Income Taxes resulting from the pro forma other adjustments. Adjustments are tax effected using an estimated statutory blended rate of 21% with the exception of the reorganization adjustments, which are based on actual income tax benefit (expense).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nuclear fuel amortization related to the increase in fair value of the nuclear fuel contract intangibles. The adjustment for the year ended December 31, 2023 also takes into consideration the Successor amortization that was reported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60" w:hanging="328"/>
        <w:spacing w:after="0" w:line="312" w:lineRule="auto"/>
        <w:tabs>
          <w:tab w:leader="none" w:pos="6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difference in depreciation, amortization, and accretion to account for the fair value adjustments to property, plant and equipment and asset retirement obligations. Below is the depreciation, amortization, and accretion expense for the year ended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 depreciation, amortization and accretion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Successor</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Predecessor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 decrease in depreciation, amortization and accretion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information contained in “Business,” “Risk Factors,” the Interim Financial Statements, the Annual Financial Statements, and their accompanying notes. In addition, the following discussion contains forward-looking statements, which involve risks and uncertainties. See “Cautionary Note Regarding Forward-Looking Statements” for additional information on forward-looking statements. Capitalized terms and abbreviations are defined in the glossary. Dollars are in millions,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w:t>
      </w:r>
    </w:p>
    <w:p>
      <w:pPr>
        <w:spacing w:after="0" w:line="1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See “Business—Our Properties” for additional information on our generation portfolio. See “—Recent Developments—ERCOT Sale” below for information on the recent sale of our generation assets in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Tender Offer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29, 2024, the Company commenced the Tender Offer. The Tender Offer expired on June 27, 2024 and resulted in the purchase for cash of</w:t>
      </w:r>
    </w:p>
    <w:p>
      <w:pPr>
        <w:spacing w:after="0" w:line="27" w:lineRule="exact"/>
        <w:rPr>
          <w:sz w:val="20"/>
          <w:szCs w:val="20"/>
          <w:color w:val="auto"/>
        </w:rPr>
      </w:pPr>
    </w:p>
    <w:p>
      <w:pPr>
        <w:ind w:right="520" w:firstLine="630"/>
        <w:spacing w:after="0" w:line="260" w:lineRule="auto"/>
        <w:rPr>
          <w:sz w:val="20"/>
          <w:szCs w:val="20"/>
          <w:color w:val="auto"/>
        </w:rPr>
      </w:pPr>
      <w:r>
        <w:rPr>
          <w:rFonts w:ascii="Times New Roman" w:cs="Times New Roman" w:eastAsia="Times New Roman" w:hAnsi="Times New Roman"/>
          <w:sz w:val="18"/>
          <w:szCs w:val="18"/>
          <w:color w:val="auto"/>
        </w:rPr>
        <w:t>shares of its common stock at a clearing price per share of $ , or an aggregate of $ million. The Tender Offer was part of the Company’s Share Repurchase Program.</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May 29, 2024, TES announced the remarketing of $50,000,000 in aggregate principal amount of its PEDFA 2009B Bonds and $80,600,000 million in aggregate principal amount of its PEDFA 2009C Bonds.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Upsizing of Share Repurchase Program</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of the Company’s common stock have been purchased under the share repurchase program for $39 million, inclusive of transaction costs. See Note 16 in Notes to the Annual Financial Statements for additional information.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 See Note 11 in Notes to the Interim Financial Statements for additional information on Talen’s indebtedness.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 See Note 17 in Notes to the Interim Financial Statements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 (ii) 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21"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CFE to the grid. For additional information about the Cumulus Data Campus PPA, see “Prospectus Summary—Recent Developments—Cumulus Data Campus Sale.”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in Notes to the Interim Financial Statements for additional information.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TLF Repayment</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 Riverstone Warrant Cancellation” and Note 16 in Notes to the Annual Financial Statements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In May 2022, Talen commenced a reorganization under Chapter 11 of the Bankruptcy Code to allow the Debtors to, among other things, strengthen their financial position and provide additional liquidity to fund their operations and protect their investments in certain energy transition projects.</w:t>
      </w:r>
    </w:p>
    <w:p>
      <w:pPr>
        <w:spacing w:after="0" w:line="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became effective in May 2023. At Emergence, TES adopted “fresh start” accounting, which required our assets and liabilities to be remeasured at fair value. Such measurement affected the carrying value of our assets and liabilities, and by extension, the comparability of our financial statements between periods.</w:t>
      </w:r>
    </w:p>
    <w:p>
      <w:pPr>
        <w:spacing w:after="0" w:line="1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Through consummation of the Exit Financings and the Plan of Reorganization, we achieved a significant reduction in debt and interest, provided for full repayment of TES’s Prepetition Secured Indebtedness and completed the consensual equitization of all of TES’s Prepetition Unsecured Notes and PEDFA 2009A Bonds.</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As a result, we have estimated our annual base limitation is approximately $72 million against the utilization of our loss carryforwards and other tax attributes. The Company can increase its annual Section 382 base limitation for the amount of recognized built-in gain (“RBIG”) pursuant to the application of Notice 2003-65. The additional deemed RBIG is approximately $859 million over a 5-year recognition period. States generally have similar tax attribute limitation rules following an ownership change.</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regarding the Restructuring. See “—Liquidity and Capital Resources” for additional information on the Exit Financings and Note 13 in Notes to the Annual Financial Statements for additional information on Talen’s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75"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Earnings in future periods are subject to various uncertainties and risks. See “Cautionary Note Regarding Forward-Looking Statements,” “Risk Factors,” Notes 3 and 10 in Notes to the Interim Financial Statements, and Notes 5 and 12 in Notes to the Annual Financial Statements for additional information on our risks.</w:t>
      </w:r>
    </w:p>
    <w:p>
      <w:pPr>
        <w:spacing w:after="0" w:line="12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completed the ERCOT Sale in May 2024.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Generation Facility Updates</w:t>
      </w:r>
    </w:p>
    <w:p>
      <w:pPr>
        <w:spacing w:after="0" w:line="173"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and Reliability Impact Assessment. </w:t>
      </w:r>
      <w:r>
        <w:rPr>
          <w:rFonts w:ascii="Times New Roman" w:cs="Times New Roman" w:eastAsia="Times New Roman" w:hAnsi="Times New Roman"/>
          <w:sz w:val="18"/>
          <w:szCs w:val="18"/>
          <w:color w:val="auto"/>
        </w:rPr>
        <w:t>In October 2023, for economic reasons, the Company provided a notice to PJM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deactivate H.A. Wagner as of June 1, 2025. The coal-to-fuel oil conversion of H.A. Wagner Unit 3 was completed in December 2023 and will allow the generation facility to serve as a capacity resource until its deactivation. In January 2024, PJM notified H.A Wagner that its generation units 3 and 4 are needed for transmission reliability. In April 2024, H.A. Wagner filed a cost-of-service rate schedule at FERC for the continued Reliability Must Run operation and provision of service from these units. No assurance can be provided when, if at all, FERC will approve the filing. See Note 8 in Notes to the Interim Financial Statements and Note 12 in Notes to the Annual Financial Statements for additional information.</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Brandon Shores Fuel Conversion Cancellation, Planned Retirement, and Reliability Impact Assessment. </w:t>
      </w:r>
      <w:r>
        <w:rPr>
          <w:rFonts w:ascii="Times New Roman" w:cs="Times New Roman" w:eastAsia="Times New Roman" w:hAnsi="Times New Roman"/>
          <w:sz w:val="18"/>
          <w:szCs w:val="18"/>
          <w:color w:val="auto"/>
        </w:rPr>
        <w:t>In the first quarter 2023, due to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costs and declining PJM capacity revenues, management concluded that the lower return on investment to convert Brandon Shores’ fuel source from coal to fuel oil no longer met Talen’s investment criteria. In April 2023, Brandon Shores notified PJM that it will deactivate electric generation on June 1, 2025. Accordingly, an aggregate $379 million of non-cash, pre-tax charges was recognized for the period from January 1 through May 17, 2023 (Predecessor), including a $361 million charge for the generation facility and $18 million of net realizable value and obsolescence charges for materials and supplies inventories and coal inventories.</w:t>
      </w:r>
    </w:p>
    <w:p>
      <w:pPr>
        <w:spacing w:after="0" w:line="13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June 2023, PJM notified Brandon Shores that the units were needed for reliability. Talen subsequently notified PJM that it does not agree to continue to operate Brandon Shores under a Reliability-Must-Run arrangement. In April 2024, Brandon Shores filed a cost-of-service rate schedule at FERC for the continued Reliability Must Run operation and provision of service from these units. No assurance can be provided when, if at all, FERC will approve the filing. See Note 8 in Notes to the Interim Financial Statements and Notes 10 and 12 in Notes to the Annual Financial Statements for additional information.</w:t>
      </w:r>
    </w:p>
    <w:p>
      <w:pPr>
        <w:spacing w:after="0" w:line="1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Montour Coal-to-Natural Gas Conversion. </w:t>
      </w:r>
      <w:r>
        <w:rPr>
          <w:rFonts w:ascii="Times New Roman" w:cs="Times New Roman" w:eastAsia="Times New Roman" w:hAnsi="Times New Roman"/>
          <w:sz w:val="18"/>
          <w:szCs w:val="18"/>
          <w:color w:val="auto"/>
        </w:rPr>
        <w:t>In August 2023, Montour completed its natural gas fuel conversion. Units 1 and 2 are now dispatchable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coal or natural gas. Permanent retirement of coal at Montour is required by the end of 2025, with an earlier retirement at the Company’s election. Montour incurred aggregate conversion capital expenditures of $16 million from May 18 through December 31, 2023 (Successor), $40 million from January 1 through May 17, 2023 (Predecessor) and $90 million for the year ended December 31, 2022 (Predecessor).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Unusual Market Events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PJM’s declaration of a Capacity Performance event requiring generators to operate at their maximum output capacity. Certain of Talen’s generation facilities failed to meet the Capacity Performance requirements set forth by PJM, while Talen’s remaining generation facilities met or exceeded their capacity obligations. Talen and certain other market participants filed complaints at FERC against PJM that disputed a portion of the Capacity Performance penalties assessed by PJM. In December 2023, FERC approved a market-wide settlement that resolved the disputes. Talen’s final aggregate net penalty payments of $29 million were remitted during the period from May 18 through December 31, 2023 (Successor) and the period from January 1 through May 17, 2023. See Note 12 in Notes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21"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Markets</w:t>
      </w:r>
    </w:p>
    <w:p>
      <w:pPr>
        <w:spacing w:after="0" w:line="1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tables summarize average on-peak power prices and natural gas prices for each of the PJM, ERCOT, and WECC markets for the three months ended March 31, 2024 (Successor) and 2023 (Predecessor). During the first quarter 2024, natural gas prices for Texas Eastern M-3 and Houston Ship Channel settled below each of their ten-year averages resulting from reduced demand for natural gas as the regions experienced milder quarterly average temperature conditions. In PJM, the combination of mild temperatures and natural gas prices contributed to the similar on-peak power price settlements experienced during the prior year. In ERCOT and WECC, increased demand resulting from colder-than-average temperatures during January 2024 contributed to higher average on-peak power prices in each region compared to the prior year.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 PL Zone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BGE Zone Day Ahead Peak - $/MWh</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6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January and February forward market prices as of March 31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PJM West Hub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Texas Eastern M-3 -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2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PJM West Hub 2025 and 2026 January and February average on-peak forward prices decreased approximately 17% and 12%, respectively, compared to the prior year.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South Hub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ERCOT South Hub Day Ahead Spark Spreads - $/MWh(a)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Ship Channel - $/MMBtu</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7"/>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Spark Spreads are computed based on a heat rate of 7 MMBtu/MWh.</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July and August forward market prices as of March 31 were: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ERCOT South Hub Day Ahead Spark Spreads 2024 quarter average settled prices increased approximately 49% compared to the prior year.</w:t>
      </w:r>
    </w:p>
    <w:p>
      <w:pPr>
        <w:spacing w:after="0" w:line="171"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ERCOT South Hub 2024 and 2025 July and August average on-peak forward spark spreads prices increased approximately 112% and 78%, respectively, compared to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WECC</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Sumas - $/MMBtu</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46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average third quarter forward market prices as of March 31 were: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Mid-Columbia Day Ahead Peak - $/MWh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Mid-Columbia Day Ahead Peak - $/MWh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Mid-Columbia Day Ahead Peak 2024 quarter average settled prices increased approximately 5% compared to the prior year.</w:t>
      </w:r>
    </w:p>
    <w:p>
      <w:pPr>
        <w:spacing w:after="0" w:line="171"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Mid-Columbia 2024 and 2025 third quarter average on-peak forward prices decreased approximately 25% and 22%, respectively, compared to the prior year.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Capacity Markets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Approximately 85% of 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MSOC as determined by the PJM IMM.</w:t>
      </w:r>
    </w:p>
    <w:p>
      <w:pPr>
        <w:spacing w:after="0" w:line="1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Capacity Auctions. </w:t>
      </w:r>
      <w:r>
        <w:rPr>
          <w:rFonts w:ascii="Times New Roman" w:cs="Times New Roman" w:eastAsia="Times New Roman" w:hAnsi="Times New Roman"/>
          <w:sz w:val="18"/>
          <w:szCs w:val="18"/>
          <w:color w:val="auto"/>
        </w:rPr>
        <w:t>Under the RPM, PJM conducts a series of capacity auctions. Most capacity is procured in the auctions conducted each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delivery of generation capacity for the PJM Capacity Year, which is three years from the date of the auction. Capacity auctions have recently been delayed, resulting in the auctions being held with less than 3 years between the auctions and the PJM Capacity Year. The capacity market construct provides generation owners the opportunity for some revenue visibility on a multiyear basis. The results of each of these auctions impacts Talen's capacity revenues in the specific PJM Capacity Year.</w:t>
      </w:r>
    </w:p>
    <w:p>
      <w:pPr>
        <w:spacing w:after="0" w:line="13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See “—Capacity Prices” below for additional information on capacity prices and see Note 10 in Notes to the Interim Financial Statements for additional information on the PJM RPM and other PJM matters.</w:t>
      </w:r>
    </w:p>
    <w:p>
      <w:pPr>
        <w:spacing w:after="0" w:line="106" w:lineRule="exact"/>
        <w:rPr>
          <w:sz w:val="20"/>
          <w:szCs w:val="20"/>
          <w:color w:val="auto"/>
        </w:rPr>
      </w:pPr>
    </w:p>
    <w:p>
      <w:pPr>
        <w:ind w:righ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Capacity Prices. </w:t>
      </w:r>
      <w:r>
        <w:rPr>
          <w:rFonts w:ascii="Times New Roman" w:cs="Times New Roman" w:eastAsia="Times New Roman" w:hAnsi="Times New Roman"/>
          <w:sz w:val="18"/>
          <w:szCs w:val="18"/>
          <w:color w:val="auto"/>
        </w:rPr>
        <w:t>The following table displays the PJM Base Residual Auction’s cleared capacity prices for the markets and zones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operate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2021/2022</w:t>
            </w:r>
          </w:p>
        </w:tc>
      </w:tr>
      <w:tr>
        <w:trPr>
          <w:trHeight w:val="23"/>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Capacity Performance ($/MW-day) (a)</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BGE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PSEG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prices are from the applicable market publications.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Production Tax Credit</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was signed into law in August 2022. Among the Act’s provisions are amendments to the Internal Revenue Code to create a nuclear production tax credit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would be: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Gross Receipts</w:t>
            </w:r>
          </w:p>
        </w:tc>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Amount</w:t>
            </w:r>
          </w:p>
        </w:tc>
      </w:tr>
      <w:tr>
        <w:trPr>
          <w:trHeight w:val="23"/>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per MWh or less</w:t>
            </w:r>
          </w:p>
        </w:tc>
        <w:tc>
          <w:tcPr>
            <w:tcW w:w="100" w:type="dxa"/>
            <w:vAlign w:val="bottom"/>
            <w:shd w:val="clear" w:color="auto" w:fill="CCEEFF"/>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per MWh</w:t>
            </w: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$25 per MWh</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Ratably reduced until gross receipts equal $43.75 per MWh, $0 after that threshold</w:t>
            </w:r>
          </w:p>
        </w:tc>
      </w:tr>
    </w:tbl>
    <w:p>
      <w:pPr>
        <w:spacing w:after="0" w:line="23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Seasonality/Scheduled Maintenance</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during the summer in Texas.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and recurring maintenance project is the annual spring refueling outage at Susquehanna. The outages normally occur during late March and into April each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Interim Financial Statements, the Annual Financial Statements, and their respective notes. Our financial results for the three-month period ending March 31, 2023, the period January 1 through May 17 , 2023, and for the years ended December 31, 2022 and 2021, are referred to as the “Predecessor” periods. Our financial results for the three-month period ending March 31, 2024 and the period from May 18 through December 31, 2023 are referred to as the “Successor” periods. The operating results of the three-month period ending March 31, 2024 and the period May 18 through December 31, 2023 cannot be adequately compared with any of the previous periods reported in the Interim Financial Statements or the Annual Financial Statements. Our results of operations as reported in the Interim Financial Statements and the Annual Financial Statements are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 purchases includes costs for fuel to generate electricity and settlements of financial and physical transactions related to fuel and energy purchases.</w:t>
      </w:r>
    </w:p>
    <w:p>
      <w:pPr>
        <w:spacing w:after="0" w:line="12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unrealized gains (losses) on derivatives instruments resulting from changes in fair value during the period and are presented separately as revenues within “Operating Revenues” and expenses within “Total Energy Expenses” in the Interim Financial Statements and the Annual Financial Statements. We evaluate them collectively because they represent the changes in fair value of Talen’s economic hedging activities.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three months ended March 31, 2024 (Successor) and 2023 (Predecessor)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31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Income (Loss) Attributable to Members totaled $294 million for the three months ended March 31, 2024 (Successor). Results were driven by:</w:t>
      </w:r>
    </w:p>
    <w:p>
      <w:pPr>
        <w:spacing w:after="0" w:line="169" w:lineRule="exact"/>
        <w:rPr>
          <w:sz w:val="20"/>
          <w:szCs w:val="20"/>
          <w:color w:val="auto"/>
        </w:rPr>
      </w:pPr>
    </w:p>
    <w:p>
      <w:pPr>
        <w:ind w:left="328" w:right="16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$45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w:t>
      </w:r>
    </w:p>
    <w:p>
      <w:pPr>
        <w:spacing w:after="0" w:line="104" w:lineRule="exact"/>
        <w:rPr>
          <w:rFonts w:ascii="Times New Roman" w:cs="Times New Roman" w:eastAsia="Times New Roman" w:hAnsi="Times New Roman"/>
          <w:sz w:val="18"/>
          <w:szCs w:val="18"/>
          <w:i w:val="1"/>
          <w:iCs w:val="1"/>
          <w:color w:val="auto"/>
        </w:rPr>
      </w:pPr>
    </w:p>
    <w:p>
      <w:pPr>
        <w:jc w:val="both"/>
        <w:ind w:left="328" w:right="140" w:hanging="328"/>
        <w:spacing w:after="0" w:line="290" w:lineRule="auto"/>
        <w:tabs>
          <w:tab w:leader="none" w:pos="323"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Energy and Other Revenues, net of Fuel and Energy Purchases</w:t>
      </w:r>
      <w:r>
        <w:rPr>
          <w:rFonts w:ascii="Times New Roman" w:cs="Times New Roman" w:eastAsia="Times New Roman" w:hAnsi="Times New Roman"/>
          <w:sz w:val="17"/>
          <w:szCs w:val="17"/>
          <w:color w:val="auto"/>
        </w:rPr>
        <w:t>, totaled $422 million. This consisted of: (i) $329 million in third-party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electricity sales and ancillary revenues; (ii) $78 million in other revenue primarily related to Nautilus operations and Nuclear PTC; and (iii) $166 million in net realized gains from hedging activities. Such amounts were partially offset by $(151) million in fuel and purchased power costs.</w:t>
      </w:r>
    </w:p>
    <w:p>
      <w:pPr>
        <w:spacing w:after="0" w:line="101" w:lineRule="exact"/>
        <w:rPr>
          <w:rFonts w:ascii="Times New Roman" w:cs="Times New Roman" w:eastAsia="Times New Roman" w:hAnsi="Times New Roman"/>
          <w:sz w:val="17"/>
          <w:szCs w:val="17"/>
          <w:i w:val="1"/>
          <w:iCs w:val="1"/>
          <w:color w:val="auto"/>
        </w:rPr>
      </w:pPr>
    </w:p>
    <w:p>
      <w:pPr>
        <w:ind w:left="328" w:right="400" w:hanging="328"/>
        <w:spacing w:after="0" w:line="267"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$(135)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losses incurred as a result of increases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328" w:right="140" w:hanging="328"/>
        <w:spacing w:after="0" w:line="315" w:lineRule="auto"/>
        <w:tabs>
          <w:tab w:leader="none" w:pos="323"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Nuclear Fuel Amortization </w:t>
      </w:r>
      <w:r>
        <w:rPr>
          <w:rFonts w:ascii="Times New Roman" w:cs="Times New Roman" w:eastAsia="Times New Roman" w:hAnsi="Times New Roman"/>
          <w:sz w:val="17"/>
          <w:szCs w:val="17"/>
          <w:color w:val="auto"/>
        </w:rPr>
        <w:t>totaled $(35) million. This consisted of the periodic expense of nuclear fuel costs capitalized as property, plant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Activity also included $(11) million of amortization on certain nuclear fuel contracts that were recognized at fair value at Emergence.</w:t>
      </w:r>
    </w:p>
    <w:p>
      <w:pPr>
        <w:spacing w:after="0" w:line="80" w:lineRule="exact"/>
        <w:rPr>
          <w:rFonts w:ascii="Times New Roman" w:cs="Times New Roman" w:eastAsia="Times New Roman" w:hAnsi="Times New Roman"/>
          <w:sz w:val="17"/>
          <w:szCs w:val="17"/>
          <w:i w:val="1"/>
          <w:iCs w:val="1"/>
          <w:color w:val="auto"/>
        </w:rPr>
      </w:pPr>
    </w:p>
    <w:p>
      <w:pPr>
        <w:ind w:left="328" w:right="80" w:hanging="328"/>
        <w:spacing w:after="0" w:line="315" w:lineRule="auto"/>
        <w:tabs>
          <w:tab w:leader="none" w:pos="323"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$(154)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$(75) million. This consisted of the periodic expense of long-lived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ARO accretion.</w:t>
      </w:r>
    </w:p>
    <w:p>
      <w:pPr>
        <w:spacing w:after="0" w:line="104" w:lineRule="exact"/>
        <w:rPr>
          <w:rFonts w:ascii="Times New Roman" w:cs="Times New Roman" w:eastAsia="Times New Roman" w:hAnsi="Times New Roman"/>
          <w:sz w:val="18"/>
          <w:szCs w:val="18"/>
          <w:i w:val="1"/>
          <w:iCs w:val="1"/>
          <w:color w:val="auto"/>
        </w:rPr>
      </w:pPr>
    </w:p>
    <w:p>
      <w:pPr>
        <w:ind w:left="328" w:right="100" w:hanging="328"/>
        <w:spacing w:after="0" w:line="267" w:lineRule="auto"/>
        <w:tabs>
          <w:tab w:leader="none" w:pos="3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$75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color w:val="auto"/>
        </w:rPr>
      </w:pPr>
    </w:p>
    <w:p>
      <w:pPr>
        <w:ind w:left="328" w:right="4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$(59) million. This primarily consisted of interest expense incurred on the Secured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w:t>
      </w:r>
    </w:p>
    <w:p>
      <w:pPr>
        <w:spacing w:after="0" w:line="104" w:lineRule="exact"/>
        <w:rPr>
          <w:rFonts w:ascii="Times New Roman" w:cs="Times New Roman" w:eastAsia="Times New Roman" w:hAnsi="Times New Roman"/>
          <w:sz w:val="18"/>
          <w:szCs w:val="18"/>
          <w:i w:val="1"/>
          <w:iCs w:val="1"/>
          <w:color w:val="auto"/>
        </w:rPr>
      </w:pPr>
    </w:p>
    <w:p>
      <w:pPr>
        <w:ind w:left="328" w:right="42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$23 million. This primarily consisted of the gain on the sale of the Cumulus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Campus. See Note 17 in Notes to the Interim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340" w:hanging="328"/>
        <w:spacing w:after="0" w:line="284" w:lineRule="auto"/>
        <w:tabs>
          <w:tab w:leader="none" w:pos="323"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$(69) million. This primarily consisted of federal/state income taxes, effects of permanent nondeductible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trust tax on the nuclear decommissioning trust income, and changes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08"/>
          </w:cols>
          <w:pgMar w:left="652" w:top="121" w:right="339" w:bottom="1440" w:gutter="0" w:footer="0" w:header="0"/>
        </w:sectPr>
      </w:pPr>
    </w:p>
    <w:bookmarkStart w:id="64" w:name="page65"/>
    <w:bookmarkEnd w:id="64"/>
    <w:p>
      <w:pPr>
        <w:jc w:val="center"/>
        <w:ind w:right="27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Net Income (Loss) Attributable to Member totaled $48 million for the three months ended March 31, 2023 (Predecessor). Results were driven by:</w:t>
      </w:r>
    </w:p>
    <w:p>
      <w:pPr>
        <w:spacing w:after="0" w:line="169" w:lineRule="exact"/>
        <w:rPr>
          <w:sz w:val="20"/>
          <w:szCs w:val="20"/>
          <w:color w:val="auto"/>
        </w:rPr>
      </w:pPr>
    </w:p>
    <w:p>
      <w:pPr>
        <w:ind w:left="328" w:right="120" w:hanging="328"/>
        <w:spacing w:after="0" w:line="261"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$66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10 in Notes to the Interim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jc w:val="both"/>
        <w:ind w:left="328" w:right="20" w:hanging="328"/>
        <w:spacing w:after="0" w:line="267"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$755 million. This consisted of: (i) $585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$245 million in third-party wholesale electricity sales and ancillary revenues; and (iii) $9 million in other revenue primarily related to Nautilus operations. Such amounts were partially offset by $(84)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328" w:hanging="328"/>
        <w:spacing w:after="0" w:line="267"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$31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partially offset by (ii) unrealized losses from the reversal of positions previously recognized as mark-to-market assets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328" w:right="32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$(24)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w:t>
      </w:r>
    </w:p>
    <w:p>
      <w:pPr>
        <w:spacing w:after="0" w:line="104" w:lineRule="exact"/>
        <w:rPr>
          <w:rFonts w:ascii="Times New Roman" w:cs="Times New Roman" w:eastAsia="Times New Roman" w:hAnsi="Times New Roman"/>
          <w:sz w:val="18"/>
          <w:szCs w:val="18"/>
          <w:i w:val="1"/>
          <w:iCs w:val="1"/>
          <w:color w:val="auto"/>
        </w:rPr>
      </w:pPr>
    </w:p>
    <w:p>
      <w:pPr>
        <w:ind w:left="328" w:right="40" w:hanging="328"/>
        <w:spacing w:after="0" w:line="315" w:lineRule="auto"/>
        <w:tabs>
          <w:tab w:leader="none" w:pos="323"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$(177)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right="68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$(132)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328" w:right="22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$(365) million. This primarily consisted of the Brandon Shores asset group impairment. See Note 8 in Notes to the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100" w:hanging="328"/>
        <w:spacing w:after="0" w:line="267"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$46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8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$(104) million. This primarily consisted of interest expense incurred on prepetition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LC fees.</w:t>
      </w:r>
    </w:p>
    <w:p>
      <w:pPr>
        <w:spacing w:after="0" w:line="104" w:lineRule="exact"/>
        <w:rPr>
          <w:rFonts w:ascii="Times New Roman" w:cs="Times New Roman" w:eastAsia="Times New Roman" w:hAnsi="Times New Roman"/>
          <w:sz w:val="18"/>
          <w:szCs w:val="18"/>
          <w:i w:val="1"/>
          <w:iCs w:val="1"/>
          <w:color w:val="auto"/>
        </w:rPr>
      </w:pPr>
    </w:p>
    <w:p>
      <w:pPr>
        <w:ind w:left="328" w:right="28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$(39) million. This primarily consisted of professional fees and make-whole premiums accruals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during the Restructuring.</w:t>
      </w:r>
    </w:p>
    <w:p>
      <w:pPr>
        <w:spacing w:after="0" w:line="104" w:lineRule="exact"/>
        <w:rPr>
          <w:rFonts w:ascii="Times New Roman" w:cs="Times New Roman" w:eastAsia="Times New Roman" w:hAnsi="Times New Roman"/>
          <w:sz w:val="18"/>
          <w:szCs w:val="18"/>
          <w:i w:val="1"/>
          <w:iCs w:val="1"/>
          <w:color w:val="auto"/>
        </w:rPr>
      </w:pPr>
    </w:p>
    <w:p>
      <w:pPr>
        <w:ind w:left="328" w:right="80" w:hanging="328"/>
        <w:spacing w:after="0" w:line="284" w:lineRule="auto"/>
        <w:tabs>
          <w:tab w:leader="none" w:pos="323"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$41 million. This primarily consisted of non-recurring sale during the period. See Note 17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Interim Financial Statements for additional information on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68"/>
          </w:cols>
          <w:pgMar w:left="652" w:top="121" w:right="3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$134 million for the period of May 18, 2023 through December 31, 2023 (Successor). Results were driven by:</w:t>
      </w:r>
    </w:p>
    <w:p>
      <w:pPr>
        <w:spacing w:after="0" w:line="106" w:lineRule="exact"/>
        <w:rPr>
          <w:sz w:val="20"/>
          <w:szCs w:val="20"/>
          <w:color w:val="auto"/>
        </w:rPr>
      </w:pPr>
    </w:p>
    <w:p>
      <w:pPr>
        <w:ind w:left="660" w:right="80" w:hanging="328"/>
        <w:spacing w:after="0" w:line="261"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$133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 Capacity revenues were positively impacted by $19 million, as a result of the FERC approved settlement agreement for net PJM capacity penalties assessed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180" w:hanging="328"/>
        <w:spacing w:after="0" w:line="267"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$732 million. This consisted of: (i) $950 million in third-party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sales and ancillary revenues; (ii) $81 million in other revenue primarily related to Nautilus operations; and (iii) $33 million in net realized gains from hedging activities. Such amounts were partially offset by $(328)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right="400" w:hanging="328"/>
        <w:spacing w:after="0" w:line="267"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$52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and (ii) unrealized gains from the reversal of positions previously recognized as mark-to-market liabilities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120" w:hanging="328"/>
        <w:spacing w:after="0" w:line="267"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$(108)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Activity also included $(53) million of amortization on certain nuclear fuel contracts that were recognized at fair value at Emergence.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315" w:lineRule="auto"/>
        <w:tabs>
          <w:tab w:leader="none" w:pos="655"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$(358)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72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$(165)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67"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$108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22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$(176) million. This primarily consisted of interest expense incurred on the 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 and LMBE-MC TLB.</w:t>
      </w:r>
    </w:p>
    <w:p>
      <w:pPr>
        <w:spacing w:after="0" w:line="104" w:lineRule="exact"/>
        <w:rPr>
          <w:rFonts w:ascii="Times New Roman" w:cs="Times New Roman" w:eastAsia="Times New Roman" w:hAnsi="Times New Roman"/>
          <w:sz w:val="18"/>
          <w:szCs w:val="18"/>
          <w:i w:val="1"/>
          <w:iCs w:val="1"/>
          <w:color w:val="auto"/>
        </w:rPr>
      </w:pPr>
    </w:p>
    <w:p>
      <w:pPr>
        <w:ind w:left="660" w:right="54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$102 million. This primarily consisted of the gain on the PPL/Talen Montana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See Note 12 in Notes to the Annual Financial Statements for additional information.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$479 million for the period from January 1, 2023 through May 17, 2023 (Predecessor). Results were driven by:</w:t>
      </w:r>
    </w:p>
    <w:p>
      <w:pPr>
        <w:spacing w:after="0" w:line="106" w:lineRule="exact"/>
        <w:rPr>
          <w:sz w:val="20"/>
          <w:szCs w:val="20"/>
          <w:color w:val="auto"/>
        </w:rPr>
      </w:pPr>
    </w:p>
    <w:p>
      <w:pPr>
        <w:ind w:left="660" w:right="80" w:hanging="328"/>
        <w:spacing w:after="0" w:line="261"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$108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$866 million. This consisted of: (i) $637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$343 million in third-party 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312"/>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right="20"/>
        <w:spacing w:after="0" w:line="282" w:lineRule="auto"/>
        <w:rPr>
          <w:sz w:val="20"/>
          <w:szCs w:val="20"/>
          <w:color w:val="auto"/>
        </w:rPr>
      </w:pPr>
      <w:r>
        <w:rPr>
          <w:rFonts w:ascii="Times New Roman" w:cs="Times New Roman" w:eastAsia="Times New Roman" w:hAnsi="Times New Roman"/>
          <w:sz w:val="18"/>
          <w:szCs w:val="18"/>
          <w:color w:val="auto"/>
        </w:rPr>
        <w:t>electricity sales and ancillary revenues; and (iii) $27 million in other revenue primarily related to Nautilus operations. Such amounts were partially offset by $(141) million in fuel and purchased power costs.</w:t>
      </w:r>
    </w:p>
    <w:p>
      <w:pPr>
        <w:spacing w:after="0" w:line="106" w:lineRule="exact"/>
        <w:rPr>
          <w:sz w:val="20"/>
          <w:szCs w:val="20"/>
          <w:color w:val="auto"/>
        </w:rPr>
      </w:pPr>
    </w:p>
    <w:p>
      <w:pPr>
        <w:ind w:left="328" w:hanging="328"/>
        <w:spacing w:after="0" w:line="267"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$(63)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gains incurred as a result of decreases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328" w:right="80" w:hanging="328"/>
        <w:spacing w:after="0" w:line="315" w:lineRule="auto"/>
        <w:tabs>
          <w:tab w:leader="none" w:pos="323"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$(285)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328" w:right="720" w:hanging="328"/>
        <w:spacing w:after="0" w:line="284"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$(200)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328" w:right="180" w:hanging="328"/>
        <w:spacing w:after="0" w:line="284"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$(381) million. This primarily consisted of the Brandon Shores asset group impairment. See Note 10 in Notes to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140" w:hanging="328"/>
        <w:spacing w:after="0" w:line="267"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$57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520" w:hanging="328"/>
        <w:spacing w:after="0" w:line="284"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$(163) million. This primarily consisted of interest expense incurred on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Notes, Prepetition RCF, Prepetition TLB, LMBE-MC TLB and certain LC fees.</w:t>
      </w:r>
    </w:p>
    <w:p>
      <w:pPr>
        <w:spacing w:after="0" w:line="104" w:lineRule="exact"/>
        <w:rPr>
          <w:rFonts w:ascii="Times New Roman" w:cs="Times New Roman" w:eastAsia="Times New Roman" w:hAnsi="Times New Roman"/>
          <w:sz w:val="18"/>
          <w:szCs w:val="18"/>
          <w:i w:val="1"/>
          <w:iCs w:val="1"/>
          <w:color w:val="auto"/>
        </w:rPr>
      </w:pPr>
    </w:p>
    <w:p>
      <w:pPr>
        <w:jc w:val="both"/>
        <w:ind w:left="328" w:right="360" w:hanging="328"/>
        <w:spacing w:after="0" w:line="267"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$799 million. This primarily consisted of: (i) $1,459 million gain on debt discharge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Emergence; and (ii) $460 million loss on revaluation adjustments.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328" w:right="60" w:hanging="328"/>
        <w:spacing w:after="0" w:line="284"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$60 million. This primarily consisted of non-recurring sales during the period. See Note 22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Annual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328" w:right="500" w:hanging="328"/>
        <w:spacing w:after="0" w:line="284" w:lineRule="auto"/>
        <w:tabs>
          <w:tab w:leader="none" w:pos="32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$(212) million. This primarily consisted of federal/state income taxes, reorganization adjustments,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valuation allowance. See Note 7 in Notes to the Annual Financial Statements for additional information.</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328" w:right="60" w:hanging="328"/>
        <w:spacing w:after="0" w:line="258" w:lineRule="auto"/>
        <w:tabs>
          <w:tab w:leader="none" w:pos="323"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$(67) million unfavorable decrease. This primarily consisted of: (i) $(34) million due to lower cleared capacity prices and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MWs cleared through PJM's capacity auction for 2022/2023 PJM Capacity Year compared to the 2021/2022 PJM Capacity Year and partially offset by higher cleared capacity prices and additional MWs cleared in PJM's base capacity auction for the 2021/2022 compared to the 2020/2021 PJM Capacity year; and (ii) $(33) million decrease primarily due to a net PJM capacity penalty related to the 2022 Winter Storm Elliot extreme weather event.</w:t>
      </w:r>
    </w:p>
    <w:p>
      <w:pPr>
        <w:spacing w:after="0" w:line="129" w:lineRule="exact"/>
        <w:rPr>
          <w:rFonts w:ascii="Times New Roman" w:cs="Times New Roman" w:eastAsia="Times New Roman" w:hAnsi="Times New Roman"/>
          <w:sz w:val="18"/>
          <w:szCs w:val="18"/>
          <w:i w:val="1"/>
          <w:iCs w:val="1"/>
          <w:color w:val="auto"/>
        </w:rPr>
      </w:pPr>
    </w:p>
    <w:p>
      <w:pPr>
        <w:ind w:left="328" w:right="520" w:hanging="328"/>
        <w:spacing w:after="0" w:line="261"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$622 million favorable increase. This consisted of: (i) $1 billion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associated with electric generation resulting from higher realized prices received at our generation facilities partially offset by lower generation volumes; (ii) $(357) million decrease in realized hedges; (iii) $(157) million decrease from losses incurred on early terminated commodity contract agreements; and (iv) $78 million increase due to losses incurred as a result of Winter Storm Uri in 2021.</w:t>
      </w:r>
    </w:p>
    <w:p>
      <w:pPr>
        <w:spacing w:after="0" w:line="125" w:lineRule="exact"/>
        <w:rPr>
          <w:rFonts w:ascii="Times New Roman" w:cs="Times New Roman" w:eastAsia="Times New Roman" w:hAnsi="Times New Roman"/>
          <w:sz w:val="18"/>
          <w:szCs w:val="18"/>
          <w:color w:val="auto"/>
        </w:rPr>
      </w:pPr>
    </w:p>
    <w:p>
      <w:pPr>
        <w:jc w:val="both"/>
        <w:ind w:left="328" w:right="420" w:hanging="328"/>
        <w:spacing w:after="0" w:line="267"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w:t>
      </w:r>
      <w:r>
        <w:rPr>
          <w:rFonts w:ascii="Times New Roman" w:cs="Times New Roman" w:eastAsia="Times New Roman" w:hAnsi="Times New Roman"/>
          <w:sz w:val="18"/>
          <w:szCs w:val="18"/>
          <w:i w:val="1"/>
          <w:iCs w:val="1"/>
          <w:color w:val="auto"/>
        </w:rPr>
        <w:t>Gain (Loss) on Derivative Instruments.</w:t>
      </w:r>
      <w:r>
        <w:rPr>
          <w:rFonts w:ascii="Times New Roman" w:cs="Times New Roman" w:eastAsia="Times New Roman" w:hAnsi="Times New Roman"/>
          <w:sz w:val="18"/>
          <w:szCs w:val="18"/>
          <w:color w:val="auto"/>
        </w:rPr>
        <w:t xml:space="preserve"> $1.3 billion favorable increase. This consisted of: (i) unrealized gains from the reversal of positions previously recognized as mark-to-market liabilities which settled during the period; and (ii) unrealized gains incurred as a result of decreases in forward power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08"/>
          </w:cols>
          <w:pgMar w:left="652" w:top="121"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 Maintenance and Development</w:t>
      </w:r>
      <w:r>
        <w:rPr>
          <w:rFonts w:ascii="Times New Roman" w:cs="Times New Roman" w:eastAsia="Times New Roman" w:hAnsi="Times New Roman"/>
          <w:sz w:val="18"/>
          <w:szCs w:val="18"/>
          <w:color w:val="auto"/>
        </w:rPr>
        <w:t>. $(26) million unfavorable increase. This consisted of: (i) higher operation expense in 2022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 due to employee retention payments and an increase in short-term incentive compensation in 2022; and (ii) higher operation and maintenance expense primarily at Susquehanna due to an increase in the cost of material and chemicals, higher utilities, and disposal costs.</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Restructuring</w:t>
      </w:r>
      <w:r>
        <w:rPr>
          <w:rFonts w:ascii="Times New Roman" w:cs="Times New Roman" w:eastAsia="Times New Roman" w:hAnsi="Times New Roman"/>
          <w:sz w:val="18"/>
          <w:szCs w:val="18"/>
          <w:color w:val="auto"/>
        </w:rPr>
        <w:t>. $(488) million charge recognized in 2022. This consisted of: (i) $(453) million within PJM, primarily for the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Talen Energy Marketing retail power contracts that were rejected in connection with the Restructuring; and (ii) $(35) million within ERCOT primarily due to the charges for long-term service agreements that were rejected in connection with the Restructuring See Note 3 in Notes to the Annual Financial Statements for additional information on the Restructuring.</w:t>
      </w:r>
    </w:p>
    <w:p>
      <w:pPr>
        <w:spacing w:after="0" w:line="125"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Income (Expense), net</w:t>
      </w:r>
      <w:r>
        <w:rPr>
          <w:rFonts w:ascii="Times New Roman" w:cs="Times New Roman" w:eastAsia="Times New Roman" w:hAnsi="Times New Roman"/>
          <w:sz w:val="18"/>
          <w:szCs w:val="18"/>
          <w:color w:val="auto"/>
        </w:rPr>
        <w:t>. $(25) million unfavorable increase. This primarily consisted of an increase in expense within PJM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obligation revisions and accrued legal settlements for the Kinder Morgan litigation. See Note 12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jc w:val="both"/>
        <w:ind w:left="660" w:right="24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$(380) million unfavorable decrease. This consisted of: (i) unrealized losses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inflation, geopolitics, and rising interest rates weighing on the equity markets in 2022 compared to favorable equity market conditions in 2021; and (ii) an unfavorable change due to realized gains recognized in 2021 as a result of asset portfolio re-balancing activities.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and Other Finance Charges</w:t>
      </w:r>
      <w:r>
        <w:rPr>
          <w:rFonts w:ascii="Times New Roman" w:cs="Times New Roman" w:eastAsia="Times New Roman" w:hAnsi="Times New Roman"/>
          <w:sz w:val="18"/>
          <w:szCs w:val="18"/>
          <w:color w:val="auto"/>
        </w:rPr>
        <w:t>. $(34) million unfavorable increase. This primarily consisted of: interest expense incurred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DIP TLB, and affiliate borrowing by Montana from TEM.</w:t>
      </w:r>
    </w:p>
    <w:p>
      <w:pPr>
        <w:spacing w:after="0" w:line="104"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of Subsidiary Gain (Loss), net</w:t>
      </w:r>
      <w:r>
        <w:rPr>
          <w:rFonts w:ascii="Times New Roman" w:cs="Times New Roman" w:eastAsia="Times New Roman" w:hAnsi="Times New Roman"/>
          <w:sz w:val="18"/>
          <w:szCs w:val="18"/>
          <w:color w:val="auto"/>
        </w:rPr>
        <w:t>. $(170) million unfavorable decrease. This consisted of losses recognized from the 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Holdings due to a change of control. See Note 2 in Notes to the Annual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Reorganization income (expense), net</w:t>
      </w:r>
      <w:r>
        <w:rPr>
          <w:rFonts w:ascii="Times New Roman" w:cs="Times New Roman" w:eastAsia="Times New Roman" w:hAnsi="Times New Roman"/>
          <w:sz w:val="17"/>
          <w:szCs w:val="17"/>
          <w:color w:val="auto"/>
        </w:rPr>
        <w:t>. $(812) million unfavorable increase. This primarily consisted of: (i) $(310) million for Backstop Premiums;</w:t>
      </w:r>
    </w:p>
    <w:p>
      <w:pPr>
        <w:spacing w:after="0" w:line="40"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for Restructuring professional fees; (iii) $(183) million for make-whole premiums and accrued interest on certain indebtedness;</w:t>
      </w:r>
    </w:p>
    <w:p>
      <w:pPr>
        <w:spacing w:after="0" w:line="9" w:lineRule="exact"/>
        <w:rPr>
          <w:rFonts w:ascii="Times New Roman" w:cs="Times New Roman" w:eastAsia="Times New Roman" w:hAnsi="Times New Roman"/>
          <w:sz w:val="18"/>
          <w:szCs w:val="18"/>
          <w:color w:val="auto"/>
        </w:rPr>
      </w:pPr>
    </w:p>
    <w:p>
      <w:pPr>
        <w:ind w:left="660" w:right="440" w:hanging="4"/>
        <w:spacing w:after="0" w:line="260" w:lineRule="auto"/>
        <w:tabs>
          <w:tab w:leader="none" w:pos="96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for professional fees incurred to obtain the DIP Credit Agreements; and (v) $(30) million for the write-off of the aggregate prepetition debt issuance cost carrying value.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$(265) million unfavorable decrease. This primarily consisted of: (i) $(198) million increase in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(ii) $(94) million increase in unfavorable permanent differences; and (iii) $(53) million decrease in federal and state tax benefit due to change in pre-tax book income; partially offset by: (i) $56 million decrease in NDT tax expense; and (ii) $24 million favorable remeasurement of deferred taxes related to a change in the Pennsylvania state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liquidity and capital requirements are generally a function of: (i) debt service requirements; (ii) capital expenditures; (iii) maintenance activities;</w:t>
      </w:r>
    </w:p>
    <w:p>
      <w:pPr>
        <w:spacing w:after="0" w:line="27" w:lineRule="exact"/>
        <w:rPr>
          <w:sz w:val="20"/>
          <w:szCs w:val="20"/>
          <w:color w:val="auto"/>
        </w:rPr>
      </w:pPr>
    </w:p>
    <w:p>
      <w:pPr>
        <w:ind w:right="80" w:firstLine="8"/>
        <w:spacing w:after="0" w:line="260"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requirements for our commercial and hedging activities, including cash collateral and other forms of credit support; (v) legacy environmental obligations; and (vi) other working capital requirements.</w:t>
      </w:r>
    </w:p>
    <w:p>
      <w:pPr>
        <w:spacing w:after="0" w:line="1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21" w:right="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sufficient to cover fixed and variable expenses, hedging and optimization strategies to manage price risk exposure, and the ability to access a wide range of capital market financing options.</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positing requirements. Additionally, there are lower overall hedging needs given the cash-flow stability afforded by the Nuclear PTC and significantly reduced debt service requirements.</w:t>
      </w:r>
    </w:p>
    <w:p>
      <w:pPr>
        <w:spacing w:after="0" w:line="133"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 See “Business—Our Commercial Risk Management Strategy” for an overview of our hedging and other risk management strategies.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May 2023, effective with Talen’s Emergence, Talen completed several secured financing transactions including the issuance of: (i) $1.2 billion aggregate principal of Secured Notes, due 2030; and (ii) approximately $1.1 billion Term Loans, due 2030. See “—Indebtedness—Exit Financings” below for additional information. This included settling claims under the Plan of Reorganization such as the cash settlement of the following recourse long-term debt and revolver facility outstanding cash borrowings: DIP TLB; Prepetition TLB; Prepetition Secured Notes; and the Prepetition CAF and the settlement of Prepetition Unsecured Notes and PEDFA 2009A Bonds through the issuance of our common stock. Proceeds from the TLC were initially used to collateralize letters of credit. See “—Recent Developments—Emergence from Restructuring” above for additional information on the Restructuring and related financings.</w:t>
      </w:r>
    </w:p>
    <w:p>
      <w:pPr>
        <w:spacing w:after="0" w:line="13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August 2023, we incurred an additional $290 million in aggregate principal amount of the TLB, resulting in proceeds of $285 million, net of original issue discount and other fees. The additional amount, issued as an additional borrowing under the TLB, constitutes a single series of indebtedness with the existing TLB incurred at Emergence. The proceeds of TES’s new debt issuance, together with approximately $12 million of cash on hand at LMBE-MC, were used to fully repay an aggregate $297 million comprised of outstanding principal, accrued interest, and LC fees. The LMBE-MC Credit Agreement along with an aggregate $12 million of outstanding LCs issued under the agreement were terminated at settlement. See Note 13 in Notes to the Annual Financial Statements for additional information on the LMBE-MC Credit Agreement termination.</w:t>
      </w:r>
    </w:p>
    <w:p>
      <w:pPr>
        <w:spacing w:after="0" w:line="13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March 2024, using proceeds from the sale of Cumulus Data assets, the Cumulus Digital TLF was paid in full, together with all accrued interest and other outstanding amounts. See Note 17 in Notes to the Interim Financial Statements for additional information on the Data Center Campus Sale.</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21" w:right="37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 pro forma consolidated total net leverage ratio is less than or equal to 1.5 to 1.0 (or, on and after the date the second quarter 2024 financials are due under the Credit Agreement, 2.0 to 1.0), and (3) in an amount not to exceed the sum of: (a) TES’ adjusted EBITDA minus 140% of TES’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“Risk Factors—Risks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“Risk Factors—Financial and Liquidity Risks—Our debt agreements contain various covenants that impose restrictions on TES and certain of its subsidiaries that may affect our ability to operate our business and to make payments on our indebtedness.”</w:t>
      </w:r>
    </w:p>
    <w:p>
      <w:pPr>
        <w:spacing w:after="0" w:line="14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See Notes 3, 5, 11 and 20 in Notes to the Annual Financial Statements and Notes 3, 9 and 16 in Notes to the Interim Financial Statements for additional information regarding various liquidity topics discussed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Liquidity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7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26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unrestricted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RCF</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liquidity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Assurances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1160" w:type="dxa"/>
            <w:vAlign w:val="bottom"/>
          </w:tcPr>
          <w:p>
            <w:pPr>
              <w:jc w:val="center"/>
              <w:ind w:left="30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surety bonds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Forecasted Uses of Cash</w:t>
      </w:r>
    </w:p>
    <w:p>
      <w:pPr>
        <w:spacing w:after="0" w:line="173" w:lineRule="exact"/>
        <w:rPr>
          <w:sz w:val="20"/>
          <w:szCs w:val="20"/>
          <w:color w:val="auto"/>
        </w:rPr>
      </w:pPr>
    </w:p>
    <w:p>
      <w:pPr>
        <w:ind w:right="8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and Development Funding. </w:t>
      </w:r>
      <w:r>
        <w:rPr>
          <w:rFonts w:ascii="Times New Roman" w:cs="Times New Roman" w:eastAsia="Times New Roman" w:hAnsi="Times New Roman"/>
          <w:sz w:val="18"/>
          <w:szCs w:val="18"/>
          <w:color w:val="auto"/>
        </w:rPr>
        <w:t>Capital expenditure plans and funding requirements for development activities are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for changes in operational needs, market conditions, regulatory requirements and cost projections. Accordingly, the expected cash requirements for these projects are subject to revision.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Generation facilities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Nuclear fuel</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PJM nuclear generation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PJM fossil generation facilities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ERCOT and WECC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generation facilities </w:t>
            </w:r>
            <w:r>
              <w:rPr>
                <w:rFonts w:ascii="Times New Roman" w:cs="Times New Roman" w:eastAsia="Times New Roman" w:hAnsi="Times New Roman"/>
                <w:sz w:val="23"/>
                <w:szCs w:val="23"/>
                <w:b w:val="1"/>
                <w:bCs w:val="1"/>
                <w:color w:val="auto"/>
                <w:vertAlign w:val="superscript"/>
              </w:rPr>
              <w:t>(a)</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Fuel conversion and other </w:t>
            </w:r>
            <w:r>
              <w:rPr>
                <w:rFonts w:ascii="Times New Roman" w:cs="Times New Roman" w:eastAsia="Times New Roman" w:hAnsi="Times New Roman"/>
                <w:sz w:val="23"/>
                <w:szCs w:val="23"/>
                <w:color w:val="auto"/>
                <w:vertAlign w:val="superscript"/>
              </w:rPr>
              <w:t>(b)</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capitalized interest on capital expenditures is a non-material amount in 2024 and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“—Factors Affecting Our Financial Condition and Results of Operations—Generation Facility Updates—Montour Coal-to-Natural Gas Conversion” above for information.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Projected ARO and Accrued Environmental Liability Cash Flows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legal obligations related to our ARO and accrued environmental liabilities. Our undiscounted projected spending on AROs and accrued environmental liabilities is presented in the table below. The majority of the estimated non-nuclear spend is related to ash impoundments at Colstrip and Brunner Island. The carrying value of these obligations include certain assumptions, including a rate of inflation of approximately 2.5%. Projections are subject to revision based on changes in estimated inflation rates, changes in the estimated timing of settling AROs and escalating retirement costs. Susquehanna’s AROs are expected to be settled with funds available in the NDT at the time of decommissioning. See Note 11 in Notes to the Annual Financial Statements for additional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Non-nuclear AROs </w:t>
            </w:r>
            <w:r>
              <w:rPr>
                <w:rFonts w:ascii="Times New Roman" w:cs="Times New Roman" w:eastAsia="Times New Roman" w:hAnsi="Times New Roman"/>
                <w:sz w:val="23"/>
                <w:szCs w:val="23"/>
                <w:color w:val="auto"/>
                <w:vertAlign w:val="superscript"/>
              </w:rPr>
              <w:t>(a)</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environmental liabilities</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600" w:hanging="332"/>
        <w:spacing w:after="0" w:line="263" w:lineRule="auto"/>
        <w:tabs>
          <w:tab w:leader="none" w:pos="33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ind w:righ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Exit Financings. </w:t>
      </w:r>
      <w:r>
        <w:rPr>
          <w:rFonts w:ascii="Times New Roman" w:cs="Times New Roman" w:eastAsia="Times New Roman" w:hAnsi="Times New Roman"/>
          <w:sz w:val="18"/>
          <w:szCs w:val="18"/>
          <w:color w:val="auto"/>
        </w:rPr>
        <w:t>In May 2023, as part of the Exit Financings, Talen consummated several secured financings, the proceeds of which,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Rights Offering and cash on hand, were used to fund the settlement of the transactions and claims contemplated by the Plan of Reorganization and to provide liquidity and working capital for Talen’s business following Emergence. The Exit Financings included the:</w:t>
      </w:r>
    </w:p>
    <w:p>
      <w:pPr>
        <w:spacing w:after="0" w:line="12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of $1.2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due 2028, a $700 million revolving credit facility, including LC commitments of $475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(and subsequently increased to $870 million in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the proceeds of which are used to cash collateralize LCs under the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LCs,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LCs.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key terms of our post-emergence facilities currently include:</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7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1940" w:right="340" w:hanging="4886"/>
        <w:spacing w:after="0" w:line="292" w:lineRule="auto"/>
        <w:tabs>
          <w:tab w:leader="none" w:pos="19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 None 8.625% per annum fixed rate No applicable margin</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47491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20"/>
        </w:trPr>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9"/>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16"/>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35"/>
        </w:trPr>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00" w:type="dxa"/>
            <w:vAlign w:val="bottom"/>
          </w:tcPr>
          <w:p>
            <w:pPr>
              <w:ind w:left="480"/>
              <w:spacing w:after="0" w:line="135" w:lineRule="exact"/>
              <w:rPr>
                <w:sz w:val="20"/>
                <w:szCs w:val="20"/>
                <w:color w:val="auto"/>
              </w:rPr>
            </w:pPr>
            <w:r>
              <w:rPr>
                <w:rFonts w:ascii="Times New Roman" w:cs="Times New Roman" w:eastAsia="Times New Roman" w:hAnsi="Times New Roman"/>
                <w:sz w:val="15"/>
                <w:szCs w:val="15"/>
                <w:color w:val="auto"/>
              </w:rPr>
              <w:t>3.00% based on first lien net</w:t>
            </w:r>
          </w:p>
        </w:tc>
      </w:tr>
      <w:tr>
        <w:trPr>
          <w:trHeight w:val="175"/>
        </w:trPr>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quarters</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0.125% per annum Fronting Fee</w:t>
            </w:r>
          </w:p>
        </w:tc>
      </w:tr>
      <w:tr>
        <w:trPr>
          <w:trHeight w:val="191"/>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2383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91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67"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12-month period at 103%. 40% redeemable from the proceeds of certain equity offerings at 108.625%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13335</wp:posOffset>
            </wp:positionV>
            <wp:extent cx="23742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-103505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-86360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-69215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-52070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-17780</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-114935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-97790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-80645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-63500</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-46355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-29210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-12065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4445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21590</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38735</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55880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73025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90170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107315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124460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141605</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158750</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175895</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193040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210185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227330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244475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261620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278765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184785</wp:posOffset>
            </wp:positionV>
            <wp:extent cx="2374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-119380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-102235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-85090</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-67945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-50800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-33655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-16510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0</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68580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85725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102870</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120015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137160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154305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171450</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188595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205740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222885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240030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257175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274320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291465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308610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325755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342900</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360045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377190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394335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411480</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428625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445770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462915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480060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497205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514350</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531495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548640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565785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582930</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600075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617220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634365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480060</wp:posOffset>
            </wp:positionV>
            <wp:extent cx="23742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300"/>
            <w:col w:w="3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-256540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-239395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-205105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-153670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-136525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-85090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-67945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-50800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-33655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-16510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The Credit Agreement governs the RCF, TLB, TLC, and TLC LCF.</w:t>
      </w:r>
    </w:p>
    <w:p>
      <w:pPr>
        <w:spacing w:after="0" w:line="1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4.00 to 1.00 as of March 31, 2024 and increasing to 4.25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1.00 as of June 30, 2024 and thereafer (to be tested as of June 30, 2024 and thereafter). The financial covenant does not apply to the TLB, TLC, or TLC LCF.</w:t>
      </w:r>
    </w:p>
    <w:p>
      <w:pPr>
        <w:spacing w:after="0" w:line="10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TLC LCF. </w:t>
      </w:r>
      <w:r>
        <w:rPr>
          <w:rFonts w:ascii="Times New Roman" w:cs="Times New Roman" w:eastAsia="Times New Roman" w:hAnsi="Times New Roman"/>
          <w:sz w:val="18"/>
          <w:szCs w:val="18"/>
          <w:color w:val="auto"/>
        </w:rPr>
        <w:t>The TLC LCF provides commitments for up to $470 million in LCs, cash collateralized with the proceeds of the TLC, with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March 31, 2024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Bilateral LCF. </w:t>
      </w:r>
      <w:r>
        <w:rPr>
          <w:rFonts w:ascii="Times New Roman" w:cs="Times New Roman" w:eastAsia="Times New Roman" w:hAnsi="Times New Roman"/>
          <w:sz w:val="18"/>
          <w:szCs w:val="18"/>
          <w:color w:val="auto"/>
        </w:rPr>
        <w:t>The Bilateral LC Agreement provides for LC issuances that collectively cannot exceed $75 million and expires in May 2028.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Bilateral LC Agreement contains substantially the same covenants, representations and warranties, and events of default as the Credit Agreement. The Bilateral LCF includes a covenant that requires TES’s consolidated first lien net leverage ratio not to exceed 4.00 to 1.00 as of March 31, 2024 and increasing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Notes. </w:t>
      </w:r>
      <w:r>
        <w:rPr>
          <w:rFonts w:ascii="Times New Roman" w:cs="Times New Roman" w:eastAsia="Times New Roman" w:hAnsi="Times New Roman"/>
          <w:sz w:val="18"/>
          <w:szCs w:val="18"/>
          <w:color w:val="auto"/>
        </w:rPr>
        <w:t>Interest on the Secured Notes is payable semi-annually on June 1 and December 1 of each year, commencing on December 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ISDAs. </w:t>
      </w:r>
      <w:r>
        <w:rPr>
          <w:rFonts w:ascii="Times New Roman" w:cs="Times New Roman" w:eastAsia="Times New Roman" w:hAnsi="Times New Roman"/>
          <w:sz w:val="18"/>
          <w:szCs w:val="18"/>
          <w:color w:val="auto"/>
        </w:rPr>
        <w:t>Talen Energy Marketing is party to certain Secured ISDAs, a portion of which are continuations of either the Prepetition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ISDAs or 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$61 million as of March 31, 2024 (Successor).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PEDFA Bonds. </w:t>
      </w:r>
      <w:r>
        <w:rPr>
          <w:rFonts w:ascii="Times New Roman" w:cs="Times New Roman" w:eastAsia="Times New Roman" w:hAnsi="Times New Roman"/>
          <w:sz w:val="18"/>
          <w:szCs w:val="18"/>
          <w:color w:val="auto"/>
        </w:rPr>
        <w:t>The PEDFA 2009B and 2009C Bonds remained outstanding following Emergence. These bonds are backstopped by LCs totaling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million as of March 31, 2024 (Successor). Each series of PEDFA Bonds was issued by the PEDFA on behalf of TES. TES received the proceeds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issuance of each series of PEDFA Bonds pursuant to a separate exempt facilities loan agreement. An unsecured promissory note of 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to each series of PEDFA Bonds contains principal, interest and prepayment provisions of the respective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 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 (ii) 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1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 For additional information about the PEDFA 2009B Bonds and 2009C Bonds, see “Prospectus Summary—Recent Developments—Remarketing of PEDFA Bonds.”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 for the three months ended March 31, 2024 (Successor) and 2023 (Predecessor)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three months ended March 31 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3" w:lineRule="exact"/>
        <w:rPr>
          <w:sz w:val="20"/>
          <w:szCs w:val="20"/>
          <w:color w:val="auto"/>
        </w:rPr>
      </w:pPr>
    </w:p>
    <w:p>
      <w:pPr>
        <w:ind w:left="660" w:right="500" w:hanging="328"/>
        <w:spacing w:after="0" w:line="284" w:lineRule="auto"/>
        <w:tabs>
          <w:tab w:leader="none" w:pos="6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(used in) operating activities totaled $173 million. This primarily consisted of cash provided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 Company.</w:t>
      </w:r>
    </w:p>
    <w:p>
      <w:pPr>
        <w:spacing w:after="0" w:line="104" w:lineRule="exact"/>
        <w:rPr>
          <w:rFonts w:ascii="Times New Roman" w:cs="Times New Roman" w:eastAsia="Times New Roman" w:hAnsi="Times New Roman"/>
          <w:sz w:val="18"/>
          <w:szCs w:val="18"/>
          <w:i w:val="1"/>
          <w:iCs w:val="1"/>
          <w:color w:val="auto"/>
        </w:rPr>
      </w:pPr>
    </w:p>
    <w:p>
      <w:pPr>
        <w:ind w:left="660" w:right="12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investing activities totaled $265 million. Talen initially received $339 million of proceeds, net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Data Center Campus Sale. Partially offsetting this inflow were capital expenditures that totaled $(66) million that primarily consisted of $(41) million for nuclear-fuel expenditures. See Note 17 in Notes to the Interim Financial Statements for additional information on the Cumulus Data Center Sale.</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$(259) million. This primarily consisted of $182 million for the repayment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Cumulus Digital TLF in March 2024 using a portion of the proceeds from the Cumulus Data Center Campus Sale; $(39) million for the repurchase of noncontrolling interests held by affiliates of Orion and two former members of Talen senior management; and $(30) million to purchase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3" w:lineRule="exact"/>
        <w:rPr>
          <w:sz w:val="20"/>
          <w:szCs w:val="20"/>
          <w:color w:val="auto"/>
        </w:rPr>
      </w:pPr>
    </w:p>
    <w:p>
      <w:pPr>
        <w:ind w:left="660" w:right="380" w:hanging="328"/>
        <w:spacing w:after="0" w:line="284"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$744 million. This consisted of cash provided from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declines in accounts receivable and in collateral deposits paid.</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77" w:lineRule="auto"/>
        <w:tabs>
          <w:tab w:leader="none" w:pos="655"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$(118) million. This primarily consisted of capital expenditures offset by $29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$(130) million and consisted of:</w:t>
      </w:r>
    </w:p>
    <w:p>
      <w:pPr>
        <w:spacing w:after="0" w:line="1" w:lineRule="exact"/>
        <w:rPr>
          <w:rFonts w:ascii="Times New Roman" w:cs="Times New Roman" w:eastAsia="Times New Roman" w:hAnsi="Times New Roman"/>
          <w:sz w:val="17"/>
          <w:szCs w:val="17"/>
          <w:i w:val="1"/>
          <w:iCs w:val="1"/>
          <w:color w:val="auto"/>
        </w:rPr>
      </w:pPr>
    </w:p>
    <w:p>
      <w:pPr>
        <w:ind w:left="660"/>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$(84) million primarily for capital projects including the Montour fuel conversion, growth projects at Cumulus Data and Nautilus; and (ii) $(46) million for nuclear-fuel expenditures. See Note 17 in Notes to the Interim Financial Statements for additional information on the sale.</w:t>
      </w:r>
    </w:p>
    <w:p>
      <w:pPr>
        <w:spacing w:after="0" w:line="125" w:lineRule="exact"/>
        <w:rPr>
          <w:rFonts w:ascii="Times New Roman" w:cs="Times New Roman" w:eastAsia="Times New Roman" w:hAnsi="Times New Roman"/>
          <w:sz w:val="17"/>
          <w:szCs w:val="17"/>
          <w:i w:val="1"/>
          <w:iCs w:val="1"/>
          <w:color w:val="auto"/>
        </w:rPr>
      </w:pPr>
    </w:p>
    <w:p>
      <w:pPr>
        <w:ind w:left="660" w:right="60" w:hanging="328"/>
        <w:spacing w:after="0" w:line="284" w:lineRule="auto"/>
        <w:tabs>
          <w:tab w:leader="none" w:pos="65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$(28) million. This consisted of primarily of a final payment in January 2023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economic hedges that that were terminated in March 2022 but had deliveries until January 2023.</w:t>
      </w:r>
    </w:p>
    <w:p>
      <w:pPr>
        <w:spacing w:after="0" w:line="102"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flow activities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Successor period from May 18, 2023 through December 31, 2023 and Predecessor periods from January 1, 2023 through May 17, 2023 and the years ended December 31, 2022 and 2021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w w:val="96"/>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left="76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0"/>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w w:val="96"/>
              </w:rPr>
              <w:t>956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3" w:lineRule="exact"/>
        <w:rPr>
          <w:sz w:val="20"/>
          <w:szCs w:val="20"/>
          <w:color w:val="auto"/>
        </w:rPr>
      </w:pPr>
    </w:p>
    <w:p>
      <w:pPr>
        <w:ind w:left="660" w:right="80" w:hanging="328"/>
        <w:spacing w:after="0" w:line="284"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$402 million. This primarily consisted of: (i) cash provided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net receipt of $104 million, related to the settlement of the PPL litigation.</w:t>
      </w:r>
    </w:p>
    <w:p>
      <w:pPr>
        <w:spacing w:after="0" w:line="104" w:lineRule="exact"/>
        <w:rPr>
          <w:rFonts w:ascii="Times New Roman" w:cs="Times New Roman" w:eastAsia="Times New Roman" w:hAnsi="Times New Roman"/>
          <w:sz w:val="18"/>
          <w:szCs w:val="18"/>
          <w:i w:val="1"/>
          <w:iCs w:val="1"/>
          <w:color w:val="auto"/>
        </w:rPr>
      </w:pPr>
    </w:p>
    <w:p>
      <w:pPr>
        <w:ind w:left="660" w:right="260" w:hanging="328"/>
        <w:spacing w:after="0" w:line="26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totaled $(171) million. Capital expenditures, including those for nuclear fuel,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million and primarily consisted of: (i) $(116) million for capital projects including the Montour fuel conversion and projects at Cumulus Data; and (ii) $(45) million for nuclear-fuel expenditures.</w:t>
      </w:r>
    </w:p>
    <w:p>
      <w:pPr>
        <w:spacing w:after="0" w:line="119"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$(84) million. This primarily consisted of $(59) million for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Riverstone to settle warrants and to repurchase Riverstone’s noncontrolling interest in Cumulus Digital Holdings. See Note 16 in Notes to the Annual Financial Statements for additional information on these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3" w:lineRule="exact"/>
        <w:rPr>
          <w:sz w:val="20"/>
          <w:szCs w:val="20"/>
          <w:color w:val="auto"/>
        </w:rPr>
      </w:pPr>
    </w:p>
    <w:p>
      <w:pPr>
        <w:ind w:left="660" w:right="380" w:hanging="328"/>
        <w:spacing w:after="0" w:line="315" w:lineRule="auto"/>
        <w:tabs>
          <w:tab w:leader="none" w:pos="655" w:val="left"/>
        </w:tabs>
        <w:numPr>
          <w:ilvl w:val="0"/>
          <w:numId w:val="4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Operating Cash Flows. </w:t>
      </w:r>
      <w:r>
        <w:rPr>
          <w:rFonts w:ascii="Times New Roman" w:cs="Times New Roman" w:eastAsia="Times New Roman" w:hAnsi="Times New Roman"/>
          <w:sz w:val="17"/>
          <w:szCs w:val="17"/>
          <w:color w:val="auto"/>
        </w:rPr>
        <w:t>Cash provided by operating activities totaled $462 million. This consisted of cash provided from the operations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including declines in accounts receivable, partially offset by payments made for accrued interest and other claims at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20" w:hanging="328"/>
        <w:spacing w:after="0" w:line="277" w:lineRule="auto"/>
        <w:tabs>
          <w:tab w:leader="none" w:pos="655" w:val="left"/>
        </w:tabs>
        <w:numPr>
          <w:ilvl w:val="0"/>
          <w:numId w:val="4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$(157) million. This primarily consisted of capital expenditures offset by $46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$(187) million and consisted of:</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$(138) million for capital projects including the Montour fuel conversion, growth projects at Cumulus Data and Nautilus, and Susquehanna activities; and (ii) $(49) million for nuclear-fuel expenditures. See Note 22 in Notes to the Annual Financial Statements for additional information on the sales.</w:t>
      </w:r>
    </w:p>
    <w:p>
      <w:pPr>
        <w:spacing w:after="0" w:line="129" w:lineRule="exact"/>
        <w:rPr>
          <w:rFonts w:ascii="Times New Roman" w:cs="Times New Roman" w:eastAsia="Times New Roman" w:hAnsi="Times New Roman"/>
          <w:sz w:val="17"/>
          <w:szCs w:val="17"/>
          <w:i w:val="1"/>
          <w:iCs w:val="1"/>
          <w:color w:val="auto"/>
        </w:rPr>
      </w:pPr>
    </w:p>
    <w:p>
      <w:pPr>
        <w:ind w:left="660" w:right="200" w:hanging="328"/>
        <w:spacing w:after="0" w:line="267"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$(539) million. This consisted of $(1.9) billion net cash outflow due to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issuances and repayments of Prepetition Secured Indebtedness and make-whole premiums partially offset by $1.4 billion of cash contributions from the Rights Offering. See Note 3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(used by) operating activities increased by $481 million. This consisted of:</w:t>
      </w:r>
    </w:p>
    <w:p>
      <w:pPr>
        <w:spacing w:after="0" w:line="20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right="1380"/>
        <w:spacing w:after="0" w:line="276" w:lineRule="auto"/>
        <w:rPr>
          <w:sz w:val="20"/>
          <w:szCs w:val="20"/>
          <w:color w:val="auto"/>
        </w:rPr>
      </w:pPr>
      <w:r>
        <w:rPr>
          <w:rFonts w:ascii="Times New Roman" w:cs="Times New Roman" w:eastAsia="Times New Roman" w:hAnsi="Times New Roman"/>
          <w:sz w:val="18"/>
          <w:szCs w:val="18"/>
          <w:color w:val="auto"/>
        </w:rPr>
        <w:t>Energy and Other Revenues, net of Fuel and Energy Purchases between periods (See “Results of Operations” 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Overall lower recourse interest payments due to stayed interest payments during the Restructuring partially offset in increases of interest paid on the Talen Commodity Accordion RCF issued in December 2021and on the DIP TLB issued in May 2022</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capacity payments between periods (See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operation and maintenance expenditures between periods (See “Results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08" w:hanging="1208"/>
        <w:spacing w:after="0"/>
        <w:tabs>
          <w:tab w:leader="none" w:pos="12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36"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9944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9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1208" w:hanging="1208"/>
        <w:spacing w:after="0"/>
        <w:tabs>
          <w:tab w:leader="none" w:pos="120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80" w:space="412"/>
            <w:col w:w="1548"/>
          </w:cols>
          <w:pgMar w:left="320" w:top="121" w:right="339" w:bottom="1440" w:gutter="0" w:footer="0" w:header="0"/>
          <w:type w:val="continuous"/>
        </w:sectPr>
      </w:pP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(used in) investing activities had an unfavorable increase of $88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contributions to equity method and preferred equity investments.</w:t>
            </w:r>
          </w:p>
        </w:tc>
        <w:tc>
          <w:tcPr>
            <w:tcW w:w="320" w:type="dxa"/>
            <w:vAlign w:val="bottom"/>
            <w:tcBorders>
              <w:bottom w:val="single" w:sz="8" w:color="12B4E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12B4E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for the Montour fuel conversion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on the renewable, battery and digital infrastructure growth projects</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restricted cash due to consolidation of affiliate subsidiaries, TRF and Cumulus Digital Holdings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2022, TES consolidated Cumulus Digital Holdings. In the preceding table: (i) amounts contributed by TES for Cumulus Digital Holdings projects before consolidation of Cumulus Digital Holdings are displayed as changes in equity method and preferred equity investment contributions; and</w:t>
      </w:r>
    </w:p>
    <w:p>
      <w:pPr>
        <w:ind w:right="40" w:firstLine="8"/>
        <w:spacing w:after="0" w:line="26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incurred by Cumulus Digital Holdings for growth projects after consolidation of Cumulus Digital Holdings are displayed as changes in growth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provided by (used in) financing activities had an unfavorable decrease of $(530)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Talen Commodity Accordion RCF in 2021</w:t>
            </w:r>
          </w:p>
        </w:tc>
        <w:tc>
          <w:tcPr>
            <w:tcW w:w="320" w:type="dxa"/>
            <w:vAlign w:val="bottom"/>
            <w:tcBorders>
              <w:bottom w:val="single" w:sz="8" w:color="12B4E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12B4E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Deferred Capacity Obligations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Inventory Repurchase Obligations in 2022</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PEDFA Bonds in 2021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on the termination of certain economic hedge contracts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LMBE-MC 2025 TLB repayments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debt issuance costs between periods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DIP TLB in 2022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4.6% Senior Notes due December 2021 at maturity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of Subsidiary Obligations</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TES guarantees certain agreements and obligations for its subsidiaries. Certain agreements may contingently require payments to a guaranteed or indemnified party. See Note 10 in Notes to the Interim Financial Statements and Note 12 in Notes to the Annual Financial Statements for additional information regarding guarantees.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Margin Sensitivities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displays sensitivities for changes in projected margins based upon consistent changes in power prices across our entire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price changes may differ by market and commodity, which could result in different results than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base case for these sensitivities incorporates market prices, our economic hedge position, expected PTC, and expected generation (including cost inputs and planned outages) as of December 31, 2023 (Successor):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Sensitivity Range</w:t>
            </w:r>
          </w:p>
        </w:tc>
        <w:tc>
          <w:tcPr>
            <w:tcW w:w="260" w:type="dxa"/>
            <w:vAlign w:val="bottom"/>
          </w:tcPr>
          <w:p>
            <w:pPr>
              <w:spacing w:after="0"/>
              <w:rPr>
                <w:sz w:val="16"/>
                <w:szCs w:val="16"/>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2024 Margin Effect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 Margin Effect (a)</w:t>
            </w:r>
          </w:p>
        </w:tc>
        <w:tc>
          <w:tcPr>
            <w:tcW w:w="36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Borders>
              <w:top w:val="single" w:sz="8" w:color="auto"/>
            </w:tcBorders>
          </w:tcPr>
          <w:p>
            <w:pPr>
              <w:spacing w:after="0"/>
              <w:rPr>
                <w:sz w:val="16"/>
                <w:szCs w:val="16"/>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power price per $/MWh (b)</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59" w:lineRule="auto"/>
        <w:tabs>
          <w:tab w:leader="none" w:pos="33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 price sensitivities hold constant certain microeconomic and macroeconomic factors that may impact our margin and the impact of changes in prices; value in millions and includes value of PTC.</w:t>
      </w:r>
    </w:p>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price sensitivities hold market heat rate constant for each month; therefore, gas prices are adjusted accordingly.</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net fair value of interest rate swaps (including accrued interest, if applicable) outstanding at December 31, 2023 (Successor):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Exposure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10% Adverse</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Maturities Through</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Movement (a)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 10% adverse interest rate movement decreases assets or increases liabilities, as applicable, which could result in an asset becoming a liability.</w:t>
      </w:r>
    </w:p>
    <w:p>
      <w:pPr>
        <w:spacing w:after="0" w:line="16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exposed to a potential increase in interest expense and to changes in the fair value of debt. The estimated impact of a 10% adverse movement in interest rates at December 31, 2023 (Successor) would have caused a $6 million increase in interest expense and a $53 million increase in the fair value of debt compared with a non-material increase in interest expense and a $11 million increase in the fair value of the debt at December 31, 2022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Credit risk is the risk of financial loss if a customer, counterparty, or financial institution is unable to perform or pay amounts due causing a financial loss to Talen.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is inherent within cash and cash equivalents, restricted cash and cash equivalents, derivative instruments, and primarily within accounts receivable.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Talen will not be paid. Such allowances are presented as “Accounts receivable, net” on the Consolidated Balance Sheets. As of December 31, 2023 (Successor) and December 31, 2022 (Predecessor), there were no material credit impairments.</w:t>
      </w:r>
    </w:p>
    <w:p>
      <w:pPr>
        <w:spacing w:after="0" w:line="14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concentrations may impact our overall exposure to credit risk, positively or negatively, as counterparties may be similarly affected by changes in economic, regulatory or other conditions.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credit risk.</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Price Risk</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certain NRC requirements, Susquehanna maintains trust funds comprised of restricted assets that were established in order to fund its proportional share of Susquehanna’s future decommissioning obligations. As of December 31, 2023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Susquehanna Nuclear's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a hypothetical 10% increase in interest rates and a 10% decrease in equity values would have resulted 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10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increase (decrease) in the fair value of NDT assets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38" w:lineRule="exact"/>
        <w:rPr>
          <w:sz w:val="20"/>
          <w:szCs w:val="20"/>
          <w:color w:val="auto"/>
        </w:rPr>
      </w:pPr>
    </w:p>
    <w:p>
      <w:pPr>
        <w:ind w:right="19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See Notes 9 and 14 in Notes to the Annual Financial Statements for additional information regarding the Susquehanna NDT. </w:t>
      </w:r>
      <w:r>
        <w:rPr>
          <w:rFonts w:ascii="Times New Roman" w:cs="Times New Roman" w:eastAsia="Times New Roman" w:hAnsi="Times New Roman"/>
          <w:sz w:val="18"/>
          <w:szCs w:val="18"/>
          <w:b w:val="1"/>
          <w:bCs w:val="1"/>
          <w:color w:val="auto"/>
        </w:rPr>
        <w:t>Cybersecurity</w:t>
      </w:r>
    </w:p>
    <w:p>
      <w:pPr>
        <w:spacing w:after="0" w:line="1"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Talen maintains policies and controls designed to identify, assess, manage, mitigate, and respond to cybersecurity threats. Our cybersecurity risk mitigation strategy is established at board management level and is implemented by the business units in which the potential threats may occur. The Company maintains business continuity and disaster recovery plans that are expected to be deployed in response to a significant cyberattack.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Risk Mitigation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cybersecurity policies incorporate standards and (or) recommendations issued by the National Institute of Standards and Technology, the International Organization for Standardization, the NRC, and NERC. These standards: (i) provide guidelines for organizations to establish, implement and improve their information security management system; (ii) form a framework for an intelligence-driven multilayered risk mitigation strategy which incorporates advanced security measures; and (iii) attempt to protect digital computer and communications systems and equipment against cyberattacks that would materially and adversely affect our operational safety, security, or emergency preparedness. We deploy, configure, and maintain technologies designed to enforce security policies, detect and protect against cybersecurity threats, and help safeguard our material assets.</w:t>
      </w:r>
    </w:p>
    <w:p>
      <w:pPr>
        <w:spacing w:after="0" w:line="13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digital and cybersecurity controls are augmented with physical controls such as security systems, security site plans, security systems monitoring, and access control to mitigate physical security risks at our facilities. Talen’s procurement policies and organizational controls require vendors to be assessed and vetted, with an enhanced protocols on purchases and installations involving nuclear equipment. Additionally, cybersecurity assessments and monitoring are performed on significant third-party service providers. This process involves reviewing the supplier's available cybersecurity controls and test of controls results. Additionally, where warranted, we request a detailed cybersecurity questionnaire from our vendors to assess the vendor's practices and preparedness in addressing cyber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Through a multi-functional coordinated effort, Talen assesses and mitigates cybersecurity risks based on likelihood of the risk and potential impact to the Company and its stakeholders. Such risks are identified using tactical, operational and compliance-based approaches. Each risk and associated consequences of each risk, should they materialize, are evaluated using likelihood of occurrence considering existing controls.</w:t>
      </w:r>
    </w:p>
    <w:p>
      <w:pPr>
        <w:spacing w:after="0" w:line="12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relevant operational employees, corporate employees, as well as certain contractors are each required to complete cybersecurity awareness, technical, and specialized training programs. Mandatory technical training is provided to personnel performing, verifying, or managing cybersecurity activities. Specialized training is required for individuals who have programmatic and procedural cybersecurity authority to develop the necessary skills and knowledge to execute a cyber defensive strategy. Responses for cybersecurity incidents are implemented through qualifications, training, and mandatory annual exercises, cyber crisis response simulations, and annual training exercises to assess the Company’s ability to adapt to information and operational technology threats.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regular monitoring of our environment either directly or through third-party organizations working on our behalf. In addition to the real-time monitoring, third parties conduct periodic vulnerability assessments on protective systems. To measure its non-nuclear cybersecurity framework maturity, Talen utilizes internal and external audits and assessments, vulnerability testing, and governance processes over outsourced service providers. The nuclear cybersecurity program is inspected biennially by the NRC and assessed annually by quality assurance audit. Nuclear vulnerability management is implemented in collaboration with Department of Homeland Security and the Cybersecurity &amp; Infrastructure Security Agency.</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an established Cyber Incident Response Plan (CIRP) to manage cybersecurity incidents. CIRP is structured to respond to and manage the effects of cyber events and, if necessary, includes steps for notifying the applicable regulatory and government authorities. Under the CIRP, cybersecurity incidents are escalated based on materiality throughout our business to the Senior Vice President of IT, Chief Administrative Officer, Chief Nuclear Officer, Chief Fossil Officer, General Counsel, Chief Financial Officer, Chief Executive Officer and (or) our Board of Directors. These escalation protocols are in place to ensure that relevant stakeholders are informed promptly to enable appropriate mitigation efforts, regulatory notifications, and (or) cooperation with authorities as necessary.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oversees Talen’s cybersecurity risk exposures and the steps taken by management to monitor and mitigate cybersecurity risks. Periodic reports are given by senior management to the Committee about material cyber events and our mitigation efforts. Cybersecurity risks are reviewed by the Board of Directors, at least annually.</w:t>
      </w:r>
    </w:p>
    <w:p>
      <w:pPr>
        <w:spacing w:after="0" w:line="12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senior executive team is responsible for coordination of cybersecurity across the Company. Our cybersecurity teams, which include professionals certified with Certified Information Systems Security Professional credentials, are responsible for assessing and managing the Company’s cyber risk management protocols in their respective areas regarding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relies on threat intelligence as well as other information obtained from governmental, public, or private sources. In coordination with Talen senior management, the SVP of IT and the relevant cybersecurity teams review risk management strategy to mitigate cybersecurity risks. Additionally, as needed, the Company engages specialists, consultants, auditors, and (or) other third parties to assist with assessing, identifying, and managing cybersecurity risks.</w:t>
      </w:r>
    </w:p>
    <w:p>
      <w:pPr>
        <w:spacing w:after="0" w:line="13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While cybersecurity incidents have not materially affected the Company, its business strategy, results of operations or financial condition to date, no assurance can be provided that the Company would not be subject to a significant cyber incident in the future. See Risk Factors for additional information on the Company’s cybersecurity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statements prepared in conformity with GAAP require the application of appropriate accounting policies to form the basis of estimates utilizing methods, judgments, and (or) assumptions that materially affect: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121" w:right="35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in Notes to the Annual Financial Statements for additional information on accounting policies for each of the following topics.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“Derivative instruments,” which assist with commodity-price management by our commercial function, is presented on our Consolidated Balance Sheets at fair value, either as an asset or liability, and are comprised primarily of power and natural gas commodity contracts. Derivative identification is challenging. While a conventional financially settled contract, such as swap or option, generally contains standard terms that facilitate its identification as a derivative instrument, judgment is required to determine whether contracts to buy or sell commodities with physical delivery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w:t>
      </w:r>
    </w:p>
    <w:p>
      <w:pPr>
        <w:spacing w:after="0" w:line="13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the Company’s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expected to be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derivative instruments.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Decommissioning Asset Retirement Obligations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significant legal obligations associated with Susquehanna’s decommissioning. Susquehanna’s Unit 1 and Unit 2 licenses, if not renewed, will expire in 2042 and 2044, respectively, at or before which time the units will shut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21" w:right="37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on our Consolidated Balance Sheets. Susquehanna periodically assesses its ARO through third-party engineering studies in order to determine expected scope, costs, and timing of decommissioning activities. Generally, its decommissioning cost study is updated every 7 years. As part of the annual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spacing w:after="0" w:line="134"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AROs are recognized at fair value at the time of installation and as an increase to property, plant, and equipment. The income effect of AROs is generally presented as “Depreciation, amortization and accretion” on our Consolidated Statements of Operations through the expected ARO settlement date. However, for an asset that has a fully depreciated property, plant, and equipment carrying value, revisions in ARO estimates have an immediate effect in earnings. Revisions to the estimated ARO are presented as “Other operating income (expense), net” on our Consolidated Statements of Operations.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in Notes to the Annual Financial Statements for additional information on AROs.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 carrying amount of the asset group may not be recoverable. Judgment exists in identifying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certain groups of our generation facilities participate in the same market. In determining the appropriate level of aggregation, we considered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conditions such as changes in market conditions, regulatory changes, or other events require a change in aggregation.</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there is an indication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property, plant, and equipment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which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21"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660"/>
        <w:spacing w:after="0" w:line="438" w:lineRule="auto"/>
        <w:rPr>
          <w:sz w:val="20"/>
          <w:szCs w:val="20"/>
          <w:color w:val="auto"/>
        </w:rPr>
      </w:pPr>
      <w:r>
        <w:rPr>
          <w:rFonts w:ascii="Times New Roman" w:cs="Times New Roman" w:eastAsia="Times New Roman" w:hAnsi="Times New Roman"/>
          <w:sz w:val="18"/>
          <w:szCs w:val="18"/>
          <w:color w:val="auto"/>
        </w:rPr>
        <w:t xml:space="preserve">Impairment charges are presented on our Consolidated Statements of Operations in the period in which the impairment determination is made. See Note 10 in Notes to the Annual Financial Statements for additional information on recognized impairments. </w:t>
      </w:r>
      <w:r>
        <w:rPr>
          <w:rFonts w:ascii="Times New Roman" w:cs="Times New Roman" w:eastAsia="Times New Roman" w:hAnsi="Times New Roman"/>
          <w:sz w:val="18"/>
          <w:szCs w:val="18"/>
          <w:b w:val="1"/>
          <w:bCs w:val="1"/>
          <w:i w:val="1"/>
          <w:iCs w:val="1"/>
          <w:color w:val="auto"/>
        </w:rPr>
        <w:t>Postretirement Benefit Obligations</w:t>
      </w:r>
    </w:p>
    <w:p>
      <w:pPr>
        <w:spacing w:after="0" w:line="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subsidiaries sponsor postemployment benefits that include defined benefit pension plans and health and welfare postretirement plans (other postretirement benefit plans). Accounting for defined benefit pensions and other postretirement benefits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mortality rates and future health care costs. Over a period of time, we are required to fund all vested benefits for postretirement defined benefit pension plans through plan assets, investment returns or contributions to the plans.</w:t>
      </w:r>
    </w:p>
    <w:p>
      <w:pPr>
        <w:spacing w:after="0" w:line="13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Actuarial assumptions required under GAAP to determine the projected benefit obligations and actuarial assumptions required under the Employee Retirement Income Security Act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plan affect funding requirements over a period of time.</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in Notes to the Annual Financial Statements for the weighted-average assumptions used for discount rate and expected return on plan assets for all plans.</w:t>
      </w:r>
    </w:p>
    <w:p>
      <w:pPr>
        <w:spacing w:after="0" w:line="13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 variance in the discount rate or expected return on plan assets could have a significant impact on postretirement benefit obligations and annual net periodic pension costs. The following table displays the estimated increase / (decrease) of a 1% increase and a 1% decrease in the discount rate and expected return on plan assets on the postretirement benefit obligation and net periodic pension cost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32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plan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Significant management estimates and judgments are involved to determine the provision for income taxes, deferred tax assets and liabilities and valuation allowances.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 assessment is performed on a quarterly basis to determine the likelihood of realizing deferred tax assets. This assessment includes evaluating positive and negative evidence, such as: (i) creation and timing of future taxable income associated with the reversal of deferred tax liabilities in excess of deferred tax assets; (ii) expiration of net operating losses; and (iii) historical amounts of income or losses. Based on this assessment, valuation allowances are utilized to reduce deferred tax assets to the extent necessary to result in an amount that is more likely than not to be realized in future periods.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in Notes to the Annual Financial Statements for additional information on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See Note 2 in Notes to the Annual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121" w:right="47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See “Prospectus Summary—Recent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to AWS, the Cumulus Data Campus adjacent to our zero-carbon Susquehanna nuclear facility that will utilize carbon-free, low-cost energy provided directly from the plant, providing both an attractive source of demand for the plant and a new source of incremental revenues for us. See “Prospectus Summary—Recent Developments—Cumulus Data Campus Sale ”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Information—Non-GAAP Financial Measures” contains a description of Adjusted EBITDA and a reconciliation to the most directly comparable GAAP measure.</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“Prospectus Summary—Recent Developments—Cumulus Data Campus Sale.” We also believe Susquehanna may further benefit from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“behind-the-fence”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5"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21" w:right="35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80010</wp:posOffset>
            </wp:positionV>
            <wp:extent cx="5546090" cy="3703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460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40" w:right="540" w:hanging="332"/>
        <w:spacing w:after="0" w:line="263" w:lineRule="auto"/>
        <w:tabs>
          <w:tab w:leader="none" w:pos="34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September 30 of each year) and will cease by year-end 2028, with the option of earlier coal retirement at the Company’s discretion.</w:t>
      </w:r>
    </w:p>
    <w:p>
      <w:pPr>
        <w:ind w:left="340" w:right="28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 coal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retirement at the Company’s discretion.</w:t>
      </w:r>
    </w:p>
    <w:p>
      <w:pPr>
        <w:spacing w:after="0" w:line="123" w:lineRule="exact"/>
        <w:rPr>
          <w:rFonts w:ascii="Times New Roman" w:cs="Times New Roman" w:eastAsia="Times New Roman" w:hAnsi="Times New Roman"/>
          <w:sz w:val="18"/>
          <w:szCs w:val="18"/>
          <w:i w:val="1"/>
          <w:iCs w:val="1"/>
          <w:color w:val="auto"/>
        </w:rPr>
      </w:pPr>
    </w:p>
    <w:p>
      <w:pPr>
        <w:ind w:left="340" w:hanging="332"/>
        <w:spacing w:after="0" w:line="26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pacing w:after="0" w:line="1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121" w:right="51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657225</wp:posOffset>
            </wp:positionV>
            <wp:extent cx="4020185" cy="2468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facility in the U.S. Susquehanna typically comprises 50% or more of our annual generation.</w:t>
      </w:r>
    </w:p>
    <w:p>
      <w:pPr>
        <w:spacing w:after="0" w:line="10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“Prospectus Summary—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Natural gas and oil intermediate and peaking units. </w:t>
      </w:r>
      <w:r>
        <w:rPr>
          <w:rFonts w:ascii="Times New Roman" w:cs="Times New Roman" w:eastAsia="Times New Roman" w:hAnsi="Times New Roman"/>
          <w:sz w:val="17"/>
          <w:szCs w:val="17"/>
          <w:color w:val="auto"/>
        </w:rPr>
        <w:t>Our generation portfolio includes 7 technologically diverse natural gas and oil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21" w:right="37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Susquehanna provides multiple paths to cash flow generation and value creation, including through the PJM wholesale and capacity markets. Historically, we sold our power via a combination of spot sales and hedging transactions. The Cumulus Data Campus now creates additional incremental value for Susquehanna, providing future cash flows through direct sales of power to a highly-rated counterparty at fixed prices under the long-term Cumulus Data Campus PPA. See “Prospectus Summary—Recent Developments—Cumulus Data Campus Sale” for additional information. When measured by the operational and safety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21"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adopted by the nuclear industry, Susquehanna is one of the top performers in the United States. 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 3 after their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 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and strong balance sheet and have no significant debt maturities until 2030. As of March 31, 2024, we had unrestricted cash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$597 million and $544 million of available commitments under our revolving credit facility, resulting in liquidity of approximately $1.1 billion. In addition,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$75 million secured bilateral letter of credit facility and a $470 million term loan C letter of credit facility. Our strong balance sheet also provides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ample capacity and counterparty appetite for lien-based hedging, which does not require cash collateral posting. Our legacy debt service requirements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reduced as a result of the Restructuring, and we intend to maintain a modest go-forward net leverage ratio of 3.5x or less. We believe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provide us with the flexibility to focus on maximizing value through the disciplined operation of our core business.</w:t>
      </w:r>
    </w:p>
    <w:p>
      <w:pPr>
        <w:spacing w:after="0" w:line="1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21" w:right="35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Information—Non-GAAP Financial Measures” contains a description of Adjusted EBITDA and a reconciliation to the most directly comparable GAAP measure. Capacity revenue is a key indicator of the important role that nuclear, natural gas and peaking 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“Prospectus Summary—Recent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3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 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Disciplined financial policy and capital allocation. </w:t>
      </w:r>
      <w:r>
        <w:rPr>
          <w:rFonts w:ascii="Times New Roman" w:cs="Times New Roman" w:eastAsia="Times New Roman" w:hAnsi="Times New Roman"/>
          <w:sz w:val="17"/>
          <w:szCs w:val="17"/>
          <w:color w:val="auto"/>
        </w:rPr>
        <w:t>We actively manage our capital structure, future capital commitments and asset base by following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See “Prospectus Summary—Recent Developments—Upsizing of Share Repurchase Program ” for additional information.</w:t>
      </w:r>
    </w:p>
    <w:p>
      <w:pPr>
        <w:spacing w:after="0" w:line="12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after giving effect to the ERCOT Sale, our power generation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272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capacity (summer rating) is based on factors, among others, such as operating experience and physical conditions, which may be subject to revision.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Annual Financial Statements for additional information regarding jointly owned facilities.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restricted during the EPA Ozone Season, which is May 1 to September 30 of each year.</w:t>
      </w:r>
    </w:p>
    <w:p>
      <w:pPr>
        <w:spacing w:after="0" w:line="14" w:lineRule="exact"/>
        <w:rPr>
          <w:rFonts w:ascii="Times New Roman" w:cs="Times New Roman" w:eastAsia="Times New Roman" w:hAnsi="Times New Roman"/>
          <w:sz w:val="14"/>
          <w:szCs w:val="14"/>
          <w:color w:val="auto"/>
        </w:rPr>
      </w:pPr>
    </w:p>
    <w:p>
      <w:pPr>
        <w:ind w:left="340" w:right="80" w:hanging="332"/>
        <w:spacing w:after="0" w:line="254"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required to cease at Montour by December 2025 and at Brunner Island, Keystone, and Conemaugh by December 2028, with an earlier retirement of coal at the wholly owned Montour and Brunner Island facilities at the Company’s election.</w:t>
      </w: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“—Regulatory Matters” for additional information on the Brandon Shores and Wagner deactivations. Filed Reliability-Must-Run cost-of-service rate schedules in April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8" w:lineRule="exact"/>
        <w:rPr>
          <w:sz w:val="20"/>
          <w:szCs w:val="20"/>
          <w:color w:val="auto"/>
        </w:rPr>
      </w:pPr>
    </w:p>
    <w:p>
      <w:pPr>
        <w:ind w:left="660" w:right="2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PJM – a reportable segment that includes the operating and marketing activities within the PJM market. PJM is comprised of Susquehanna and Talen’s natural gas and coal generation facilities located within the PJM market;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80"/>
          </w:cols>
          <w:pgMar w:left="320" w:top="121" w:right="39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ERCOT and WECC – a reportable segment that includes the operating and marketing activities within the ERCOT market for the operations of Talen’s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completed the ERCOT Sale in May 2024.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Markets and Revenue Streams</w:t>
      </w:r>
    </w:p>
    <w:p>
      <w:pPr>
        <w:spacing w:after="0" w:line="175" w:lineRule="exact"/>
        <w:rPr>
          <w:sz w:val="20"/>
          <w:szCs w:val="20"/>
          <w:color w:val="auto"/>
        </w:rPr>
      </w:pPr>
    </w:p>
    <w:p>
      <w:pPr>
        <w:jc w:val="both"/>
        <w:ind w:right="240" w:firstLine="324"/>
        <w:spacing w:after="0" w:line="312" w:lineRule="auto"/>
        <w:rPr>
          <w:sz w:val="20"/>
          <w:szCs w:val="20"/>
          <w:color w:val="auto"/>
        </w:rPr>
      </w:pPr>
      <w:r>
        <w:rPr>
          <w:rFonts w:ascii="Times New Roman" w:cs="Times New Roman" w:eastAsia="Times New Roman" w:hAnsi="Times New Roman"/>
          <w:sz w:val="17"/>
          <w:szCs w:val="17"/>
          <w:color w:val="auto"/>
        </w:rPr>
        <w:t>Following the ERCOT Sale, the substantial majority of our generation capacity is located in, and revenues derived from, PJM. The remainder of our generation capacity is in WECC and ISO-NE. For additional detail regarding the market location of each of our facilities, please see “—Our Properties.”</w:t>
      </w:r>
    </w:p>
    <w:p>
      <w:pPr>
        <w:spacing w:after="0" w:line="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Operating revenues primarily consist of capacity revenues, energy/ancillary revenues and unrealized gain (loss) on derivative instruments. In PJM, we sell capacity through forward PJM Base Residual Auctions and, to the extent we are unable to sell capacity through the PJM Base Residual Auctions we may sell uncleared capacity through PJM Incremental Auctions or bilateral contracts. We also earn capacity revenues in ISO-NE. We sell energy into the spot markets in both PJM and ISO-NE, and we also enter into bilateral agreements with power purchasers for the sale of energy from our generation fleet in PJM and WECC. For a discussion of our commercial optimization strategy, please see “—Our Commercial Risk Management Strategy” below.</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PJM</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PJM is an RTO that coordinates the movement and sale of wholesale electricity in all or parts of 13 states and the District of Columbia. As of March 31, 2024, it is the largest competitive wholesale power market in the United States, coordinating the dispatch of approximately 180,000 MW to more than 65 million people. The current mix of generating capacity within PJM is diverse, with a significant number of nuclear, natural gas and coal power generation facilities providing approximately 90% of its available capacity as of March 31, 2024. As is the case in many markets in the United States, generating capacity within PJM is transitioning from a coal-dominated generation base to a mix that incorporates larger amounts of natural gas and renewable units, driven in part by current and impending EPA regulations.</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PJM benefits from a combination of stable demand growth, liquid trading hubs, limited energy import capacity and a wide range of available market products. Generation owners in PJM may earn energy, capacity and ancillary service revenues. The PJM energy market consists of day-ahead and real-time markets. The day-ahead market is a forward market in which hourly prices are calculated for the next operating day based on offers, bids and bilateral obligations. The real-time market is a spot market in which energy is continuously bought and sold based on actual grid operating conditions.</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PJM RPM is intended to ensure that resources are available when needed to keep the power grid operating reliably for customers. Under the PJM RPM, PJM conducts a series of capacity auctions. Most capacity is procured in the PJM Base Residual Auction, typically conducted three years prior to the start of the applicable period to which a capacity commitment in PJM applies (which typically runs from June 1 to May 31), to secure commitments from capacity resources, intended to be held in May of each year for the sale of generating capacity. In these auctions, capacity prices are set based on supply and demand fundamentals and are influenced by factors, such as generation facility additions and retirements, capacity imports from and exports to adjacent markets, generation facility retrofit costs, non-performance risk premium penalties, demand response products, RTO demand forecasts and reserve margin targets, as well as adjustments to the PJM MOSC (the maximum price at which certain units can bid into the market) as determined by the PJM IMM and/or PJM. See “—Regulatory Matters” for additional information on ongoing market reforms in PJM.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future PJM Base Residual Auctions have been delayed and are expected to be conducted as follows: 2025/2026 PJM Base Residual Auctions in July 2024, 2026/2027 PJM Base Residual Auctions in December 2024, 2027/2028 PJM Base Residual Auctions in June 2025 and 2028/2029 PJM Base Residual Auctions in December 2025. Although PJM has established dates for the next four auctions, there is no guarantee that the auction will take place on those dates or at all. At this time, Talen cannot fully predict the impacts of PJM’s reforms on its operations and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Risk Management Strategy</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commercial optimization strategy is focused on hedging commodity price volatility within appropriate risk tolerances while providing stable cash flow generation and preserving forward margin. We employ a variety of commercial, physical and financial instruments to manage risk and optimize the value of our assets. In some cases, we use a portfolio approach to manage risks, such as those associated with capacity and ancillary offerings. Our hedging strategy prioritizes a first lien-based hedging program in which hedging counterparties are granted a lien in the same collateral securing our first-lien debt obligations which limits the use of collateral posting requirements. It also factors in the Nuclear PTC related to Susquehanna, which may reduce hedging requirements and therefore collateral needs. We use a variety of financial instruments to hedge our generation, including but not limited to fixed price swaps, options, and financial transmission rights (“FTRs”)/congestion revenue rights (“CRRs”), as further discussed in the table below. We target a hedge range of 60-80% of our expected generation for the prompt 12 months and ratably scale the hedge percentage down further out in time to align with our financial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Strategy</w:t>
            </w: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69"/>
        </w:trPr>
        <w:tc>
          <w:tcPr>
            <w:tcW w:w="1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Power</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swaps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16"/>
                <w:szCs w:val="16"/>
                <w:color w:val="auto"/>
              </w:rPr>
            </w:pPr>
          </w:p>
        </w:tc>
        <w:tc>
          <w:tcPr>
            <w:tcW w:w="52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FTRs / CRRs</w:t>
            </w: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FTRs / CRRs critical for PJM assets due to transmission constraints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other factors relating to their positions on the grid</w:t>
            </w:r>
          </w:p>
        </w:tc>
      </w:tr>
      <w:tr>
        <w:trPr>
          <w:trHeight w:val="175"/>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swaps</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16"/>
                <w:szCs w:val="16"/>
                <w:color w:val="auto"/>
              </w:rPr>
            </w:pPr>
          </w:p>
        </w:tc>
        <w:tc>
          <w:tcPr>
            <w:tcW w:w="52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credits, including RGGI</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expenses included in dispatch costs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Generally, cover emission exposure as we hedge or generate obligation</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Supply</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power generation assets are advantaged by significant fuel diversity, including nuclear, natural gas, coal, oil and various facilities capable of utilizing multiple fuel sources. For additional detail regarding the fuel capabilities of each of our facilities, please see “—Our Properties.”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Nuclear</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Susquehanna has a portfolio of supply contracts for uranium, conversion, enrichment and fabrication with varying expiration dates. Our nuclear fuel cycle is 100% contracted through the 2025 fuel load and at least 85% contracted through 2028. We have no ongoing fuel exposure to any Russian-affiliated counterparties. Susquehanna has an on-site spent fuel storage facility employing dry cask fuel storage technology, which, together with the spent fuel pools, has the capacity to accommodate discharged SNF. We will continue to expand this spent fuel storage facility in phases to accommodate additional SNF and, assuming appropriate approvals are obtained, we expect such future expansion phases will accommodate all of the SNF expected to be discharged by Susquehanna through 2044, the current licensed life of unit 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Natural Gas and Oil</w:t>
      </w:r>
    </w:p>
    <w:p>
      <w:pPr>
        <w:spacing w:after="0" w:line="173"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We manage our natural gas and oil supply utilizing a combination of contracted purchases, spot market purchases and on-site storage for the commodities and pipeline capacity. The amount and duration of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purchases vary due to several factors, including fuel availability, economic considerations and generation facility location on the pipeline grid, with a significant portion of our natural gas supply needs being satisfied through short-term transactions on a spot basis. Oil is generally supplied from on-site inventory and replenished through purchases on the spot market. The price-risk associated with these transactions is managed via financial hedges.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actively manage our coal requirements by purchasing coal from mines located in central and northern Appalachia for our generation facilities located within PJM and from a mine located adjacent to the Colstrip generation facility. Reliability of coal deliveries can be affected from time to time by a number of factors, including fluctuations in demand, coal mine production issues and other supplier or transporter operating difficulties. Coal inventory is maintained at levels estimated to be necessary to avoid operational disruptions at coal-fired generation units. Additionally, long-term supply contracts support adequate levels of coal inventory and are augmented with spot market purchases, as needed. We plan to eliminate the use of coal at our wholly owned generation facilities through either fuel conversion or plant retirement. For more information, see “—Our Platform—Carbon Deleveraging.”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Financing Transactions</w:t>
      </w:r>
    </w:p>
    <w:p>
      <w:pPr>
        <w:spacing w:after="0" w:line="17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Due to the rapid and sustained increases to wholesale natural gas and power prices in mid-2021, our commercial counterparties and commodity exchanges party to certain hedge transactions required us to provide elevated levels of collateral for our hedging positions. However, because we are generally required to collateralize hedges that settle in future delivery periods but do not receive settlements for electric generation until delivery, the heightened collateral posting requirements resulted in lower available cash and liquidity to operate our business. As a result, we concluded that commencing the Restructuring was necessary to allow us to, among other things, strengthen our financial position and provide additional liquidity to fund our operations and protect our equity investments in projects supporting our plans to transition to sustainable power generation. Accordingly, on May 9, 2022, TES and 71 of its subsidiaries commenced the Restructuring, and, in December 2022, TEC joined the Restructuring to facilitate the transactions contemplated by the Plan of Reorganization. On May 17, 2023, upon receipt of applicable regulatory approvals and the consummation of the Exit Financings, the Plan of Reorganization became effective and we emerged from the Restructuring with a significantly deleveraged balance sheet. For additional information on the Restructuring, Plan of Reorganization and Exit Financings, see “Management’s Discussion and Analysis of Financial Condition and Results of Operations—Liquidity and Capital Resources” and Notes to the Annual Financial Statements included elsewhere in this prospectus.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the early 1990s, there has been increased competition in U.S. energy markets because of federal and state competitive market initiatives. PJM is a competitive market and has, from time to time, considered new market rules, while some states have considered re-regulation measures that could result in more limited opportunities for competitive energy suppliers.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power generation business is a regional business that is diverse in terms of industry structure and fundamentals. Demand for electricity may be met by generation capacity based on several competing generation technologies, such as natural gas-fired, coal-fired or nuclear generation, as well as power generation facilities fueled by alternative energy sources, including hydroelectric power, synthetic fuels, solar, wind, wood, geothermal, waste heat and solid waste sources. Talen faces competition in wholesale markets from other suppliers of available energy, capacity and ancillary services. Competition is affected by electricity and fuel prices, congestion along the power grid, subsidies provided by state and federal governments for new generation facilities and certain existing generation facilities (including facilities that might otherwise retire), new market entrants, construction of new generation assets, technological advances in power generation, the actions of environmental and other regulatory authorities and other factors. Talen primarily competes with other electricity suppliers based on our ability to aggregate generation supply at competitive prices from different sources and to efficiently manage fuel supply by utilizing transportation from third-party pipelines and transmission from electric utilities, ISOs and RTOs.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Competitors in wholesale power markets include regulated utilities, industrial companies, non-utility generators, competitive subsidiaries of regulated utilities and other energy marketers.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prior to the ERCOT Sale, during the summer in Texas.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assets may experience physical damage as a result of an accident or natural disaster. These hazards can also cause personal injury or loss of life, severe damage to and destruction of property and equipment, pollution or environmental damage and suspension of operations. We maintain our own general liability, product liability, property, business interruption, workers compensation and pollution liability insurance policies, among other policies, at varying levels of deductibles and limits that we believe are reasonable and prudent under the circumstances to cover our operations and assets; however, we cannot provide any assurance that our insurance will be sufficient or effective under all circumstances and against all hazards or liabilities to which we may be subject. If we do have insurance coverage, the amount recoverable under the applicable insurance policy may be less than the related impact on revenue or not cover all potential consequences of an incident. In addition, we may be subject to a large deductible, maximum cap or aggregate policy limits. A successful claim for which we are not fully insured could adversely affect our results of operations. Further, due to rising insurance costs and changes in the insurance markets, we cannot provide any assurance that our insurance coverage will continue to be available at economic rates. Any losses not covered by insurance could have a material adverse effect on our business, financial condition and results of operations. We will continue to periodically evaluate our policy limits and retentions as they relate to the overall cost and scope of our insurance program.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Nuclear Insurance</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 public liability claims arising from a nuclear incident at any U.S. licensed 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billion. Susquehanna also purchases an insurance program that provides coverage for the cost of replacement power during prolonged outages of nuclear units caused by certain specified conditions.</w:t>
      </w:r>
    </w:p>
    <w:p>
      <w:pPr>
        <w:spacing w:after="0" w:line="108"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its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ERCOT Weather Event Lawsuits. </w:t>
      </w:r>
      <w:r>
        <w:rPr>
          <w:rFonts w:ascii="Times New Roman" w:cs="Times New Roman" w:eastAsia="Times New Roman" w:hAnsi="Times New Roman"/>
          <w:sz w:val="18"/>
          <w:szCs w:val="18"/>
          <w:color w:val="auto"/>
        </w:rPr>
        <w:t>Beginning in March 2021, the former Talen subsidiaries that at the time owned the Barney Davis, Nueces Bay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Laredo generation facilities were sued in multiple Texas courts along with many other market participants in ERCOT. See Note 17 in Notes to the Interim Financial Statements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en banc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21"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outcome of this matter for any such claims or its effect on Talen, which has retained these potential liabilities.</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Luminant v. PUCT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Pension Litigation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6"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Railroad Surcharge Litigation. </w:t>
      </w:r>
      <w:r>
        <w:rPr>
          <w:rFonts w:ascii="Times New Roman" w:cs="Times New Roman" w:eastAsia="Times New Roman" w:hAnsi="Times New Roman"/>
          <w:sz w:val="18"/>
          <w:szCs w:val="18"/>
          <w:color w:val="auto"/>
        </w:rPr>
        <w:t>In September 2019, TES and certain of its subsidiaries filed suit in the U.S. District Court for the Southern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2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Spent Nuclear Fuel Litigation. </w:t>
      </w:r>
      <w:r>
        <w:rPr>
          <w:rFonts w:ascii="Times New Roman" w:cs="Times New Roman" w:eastAsia="Times New Roman" w:hAnsi="Times New Roman"/>
          <w:sz w:val="18"/>
          <w:szCs w:val="18"/>
          <w:color w:val="auto"/>
        </w:rPr>
        <w:t>Substantial uncertainty exists regarding the nuclear industry’s permanent disposal of spent nuclear fuel (“SNF”).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law requires the U.S. Government to provide for the permanent disposal of commercial SNF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w:t>
      </w:r>
    </w:p>
    <w:p>
      <w:pPr>
        <w:spacing w:after="0" w:line="12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in May 2011, Susquehanna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to waive any claims against the U.S. Government for costs paid or injuries sustained related to temporarily storing SNF. For the period from May 18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1"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(Successor), and the years ended December 31, 2022 (Predecessor), and December 31, 2021 (Predecessor), Susquehanna received reimbursements of $24 million, $7 million, and $20 million for such costs. In May 2023, this agreement was extended through the end of 2025. We cannot be certain that subsequent amendments will extend these arrangements beyond 2025.</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Resolved Legal Matters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Restructuring. </w:t>
      </w:r>
      <w:r>
        <w:rPr>
          <w:rFonts w:ascii="Times New Roman" w:cs="Times New Roman" w:eastAsia="Times New Roman" w:hAnsi="Times New Roman"/>
          <w:sz w:val="18"/>
          <w:szCs w:val="18"/>
          <w:color w:val="auto"/>
        </w:rPr>
        <w:t>Upon Emergence in May 2023, pursuant to the Plan of Reorganization, the Debtors’ liability was discharged for certain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in Notes to the Annual Financial Statements for additional information on the Restructuring.</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Kinder Morgan Litigation. </w:t>
      </w:r>
      <w:r>
        <w:rPr>
          <w:rFonts w:ascii="Times New Roman" w:cs="Times New Roman" w:eastAsia="Times New Roman" w:hAnsi="Times New Roman"/>
          <w:sz w:val="18"/>
          <w:szCs w:val="18"/>
          <w:color w:val="auto"/>
        </w:rPr>
        <w:t>In June 2021, Kinder Morgan filed a suit in Texas state court against Talen Energy Marketing, Nueces Bay and affiliates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which included $8 million in additional settlement payments to be paid over time. In April 2024, in connection with the ERCOT Sale, Talen paid the Kinder Morgan affiliates the remaining balance of these settlement payments. During the year ended December 31, 2022, Talen recognized an $18 million charge with respect to this suit, which was presented as “Other operating income (expense), net” on the Consolidated Statements of Operations.</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 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the Base Residual Auction. PJM has indicated that it plans to open the Base Residual Auction for the 2025/2026 delivery on July 17, 2024. At this time, Talen cannot fully predict the impacts of PJM’s reforms on its operations and liquidity.</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5" w:lineRule="exact"/>
        <w:rPr>
          <w:sz w:val="20"/>
          <w:szCs w:val="20"/>
          <w:color w:val="auto"/>
        </w:rPr>
      </w:pPr>
    </w:p>
    <w:p>
      <w:pPr>
        <w:ind w:right="1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PJM’s 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 (i) 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2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29"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w:t>
      </w:r>
    </w:p>
    <w:p>
      <w:pPr>
        <w:spacing w:after="0" w:line="2" w:lineRule="exact"/>
        <w:rPr>
          <w:sz w:val="20"/>
          <w:szCs w:val="20"/>
          <w:color w:val="auto"/>
        </w:rPr>
      </w:pPr>
    </w:p>
    <w:p>
      <w:pPr>
        <w:ind w:right="260" w:firstLine="8"/>
        <w:spacing w:after="0" w:line="290" w:lineRule="auto"/>
        <w:tabs>
          <w:tab w:leader="none" w:pos="2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0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2"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in February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21" w:right="35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culture is rooted in three key principles—simplification, engagement and teamwork—which empowers our employees to influence operational decisions and trust and rely on each other, while driving operational excellence and strong financial performance. Consistent with this culture, our leadership team, together with local generation facility managers and employees, has been able to modernize and standardize legacy labor agreements, ensuring that managers and employees across Talen are subject to similar employment terms and incentive structures, which has been critical to driving our culture. Consistent with this culture, many key contributors across the organization participate in an equity compensation program that aligns our team with Talen’s strategy and with the interests of our stockholders.</w:t>
      </w:r>
    </w:p>
    <w:p>
      <w:pPr>
        <w:spacing w:after="0" w:line="13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after giving effect to the ERCOT Sale, we had 1,892 full-time employees, approximately 44% of which were represented by labor unions. Our collective bargaining agreements (“CBAs”) include: (i) a CBA with IBEW Local 1638, covering approximately 185 Talen Montana employees, which is in effect until April 2026; (ii) a CBA with Teamsters Local 190, covering approximately six Talen Montana employees, which is in effect until August 2024; and (iii) a CBA with IBEW Local 1600, covering approximately 629 Pennsylvania employees, which is in effect until August 2025.</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partially on our ability to attract, retain, motivate and develop qualified personnel. We invest in our employees every step of the way by providing the tools they need to succeed in their current roles and to grow personally and professionally. We do this, in part, through our Talen Leadership Academy, which is a week-long program that includes various in-person seminars and trainings for applicable candidates. In addition, we offer bespoke leadership development programs and other training resources generally as needed, both on an individual and group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1"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378"/>
        </w:trPr>
        <w:tc>
          <w:tcPr>
            <w:tcW w:w="11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for our executive officers and directors as of June 3, 2024:</w:t>
            </w:r>
          </w:p>
        </w:tc>
      </w:tr>
      <w:tr>
        <w:trPr>
          <w:trHeight w:val="36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“Mac” McFarland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Nuclear Officer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Gizman Abbas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Horton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Hyde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Nigro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Benson Schwartzstein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6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Mark “Mac” McFarland</w:t>
      </w:r>
      <w:r>
        <w:rPr>
          <w:rFonts w:ascii="Times New Roman" w:cs="Times New Roman" w:eastAsia="Times New Roman" w:hAnsi="Times New Roman"/>
          <w:sz w:val="18"/>
          <w:szCs w:val="18"/>
          <w:color w:val="auto"/>
        </w:rPr>
        <w:t>. Mr. McFarland has served as the Chief Executive Officer and a Director of the Company since May 2023. Mr. McFarland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all aspects of the Company’s long-term strategy and overall performance including leadership of its wholesale power generation business, commercial operations, and its Cumulus growth businesses. From October 2020 until May 2023, he served as President and Chief Executive Officer of California Resources Corporation (“CRC”), an independent energy and carbon management company committed to energy transition, where he continues to serve on the board of directors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as a member of the board of directors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directors of TerraForm Power, Bruin E&amp;P Partners, and Chaparral Energy. Mr. McFarland earned his M.B.A. from the University of Delaware and his B.S. in Civil Engineering (Environmental Concentration) from Virginia Polytechnic Institute and State University. He holds a professional engineer license and has completed the MIT Reactor Technology Course for Utility Executives. We believe that Mr. McFarland’s extensive industry experience makes him well-qualified to serve on our Board of Directors.</w:t>
      </w:r>
    </w:p>
    <w:p>
      <w:pPr>
        <w:spacing w:after="0" w:line="1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Terry Nutt</w:t>
      </w:r>
      <w:r>
        <w:rPr>
          <w:rFonts w:ascii="Times New Roman" w:cs="Times New Roman" w:eastAsia="Times New Roman" w:hAnsi="Times New Roman"/>
          <w:sz w:val="18"/>
          <w:szCs w:val="18"/>
          <w:color w:val="auto"/>
        </w:rPr>
        <w:t>. Mr. Nutt has served as the Chief Financial Officer of the Company since July 2023. In this role, Mr. Nutt leads the Company’s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electricity and natural gas commodities.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 and is a certified CPA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John Wander</w:t>
      </w:r>
      <w:r>
        <w:rPr>
          <w:rFonts w:ascii="Times New Roman" w:cs="Times New Roman" w:eastAsia="Times New Roman" w:hAnsi="Times New Roman"/>
          <w:sz w:val="18"/>
          <w:szCs w:val="18"/>
          <w:color w:val="auto"/>
        </w:rPr>
        <w:t>. Mr. Wander has served as General Counsel and Corporate Secretary of the Company since June 2023. Mr. Wander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all legal matters for the Company. He has nearly 30 years of experience in commercial law, with cases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Since joining V&amp;E in 1994, Mr. Wander also served in numerous other leadership positions,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Andrew “Andy” Wright</w:t>
      </w:r>
      <w:r>
        <w:rPr>
          <w:rFonts w:ascii="Times New Roman" w:cs="Times New Roman" w:eastAsia="Times New Roman" w:hAnsi="Times New Roman"/>
          <w:sz w:val="18"/>
          <w:szCs w:val="18"/>
          <w:color w:val="auto"/>
        </w:rPr>
        <w:t>. Mr. Wright began serving as the Company’s Chief Administrative Officer in June 2023, after having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General Counsel and Corporate Secretary since June 2018. In his current role, Mr. Wright is responsible for overseeing the human resources, information technology, facilities and corporate security functions of the Company. Prior to joining the Company, Mr. Wright spent 14 years as in-house counsel for EFH., most recently serving as Executive Vice President, General Counsel and Corporate Secretary. Mr. Wright has nearly 20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p>
      <w:pPr>
        <w:spacing w:after="0" w:line="12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Brad Berryman</w:t>
      </w:r>
      <w:r>
        <w:rPr>
          <w:rFonts w:ascii="Times New Roman" w:cs="Times New Roman" w:eastAsia="Times New Roman" w:hAnsi="Times New Roman"/>
          <w:sz w:val="18"/>
          <w:szCs w:val="18"/>
          <w:color w:val="auto"/>
        </w:rPr>
        <w:t>. Mr. Berryman has served as the Company’s senior vice president and Chief Nuclear Officer since September 2018, where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overseeing all aspects of the Susquehanna nuclear power plant.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directors.</w:t>
      </w:r>
    </w:p>
    <w:p>
      <w:pPr>
        <w:spacing w:after="0" w:line="16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Stephen Schaefer</w:t>
      </w:r>
      <w:r>
        <w:rPr>
          <w:rFonts w:ascii="Times New Roman" w:cs="Times New Roman" w:eastAsia="Times New Roman" w:hAnsi="Times New Roman"/>
          <w:sz w:val="18"/>
          <w:szCs w:val="18"/>
          <w:color w:val="auto"/>
        </w:rPr>
        <w:t>. Mr. Schaefer has served as the Chairman of the Board of Directors of the Company since May 2023. Since December 2018,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September 2020 and September 2021, respectively, Mr. Schaefer has served on the boards of directors of GenOn Holdings Inc. (where he formerly served as Chairman of the board of directors from November 2018 to May 2023), TexGen Power LLC (where he has served as Chairman of the board of directors since May 2018), Just Energy Group, Inc. (where he also served as Chairman of the Audit Committee and as a member of the Risk and Compensation Committee until December 2022), and Alpine Summit Energy Partners (where he also served as Chairman of the Audit Committee since July 2018 and as a member of the Reserves Committee and Compensation Committee until July 2023). Mr. Schaefer has been actively involved in the deregulated natural gas and electricity markets since 1993. He was a Partner with Riverstone, a private equity firm focused on energy investing, from 2004 to 2015. While at Riverstone, he served on two of its investment committees and was primarily responsible for conventional power and renewable energy investments. Prior to joining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21" w:right="359" w:bottom="1440" w:gutter="0" w:footer="0" w:header="0"/>
        </w:sectPr>
      </w:pPr>
    </w:p>
    <w:bookmarkStart w:id="106" w:name="page107"/>
    <w:bookmarkEnd w:id="106"/>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We believe that Mr. Schaefer’s extensive industry experience makes him well-qualified to serve on our Board of Directors.</w:t>
      </w:r>
    </w:p>
    <w:p>
      <w:pPr>
        <w:spacing w:after="0" w:line="122"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Gizman Abbas</w:t>
      </w:r>
      <w:r>
        <w:rPr>
          <w:rFonts w:ascii="Times New Roman" w:cs="Times New Roman" w:eastAsia="Times New Roman" w:hAnsi="Times New Roman"/>
          <w:sz w:val="18"/>
          <w:szCs w:val="18"/>
          <w:color w:val="auto"/>
        </w:rPr>
        <w:t>. Mr. Abbas has served as a Director since May 2023. Mr. Abbas has nearly 30 years of energy and investment experience.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on the board of directors of Prairie Operating Company, including as Chairman of the Audit Committee and as a member of the Compensation Committee, since May 2023, as Founding Principal of Direct Invest Development since December 2014, and on the board of directors of the New York Independent System Operator, including as Chairman of the Commerce &amp; Compensation Committee and as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 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 We believe that Mr. Abbas’ executive, financial and investment experience makes him well-qualified to serve on our Board of Directors.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Anthony Horton</w:t>
      </w:r>
      <w:r>
        <w:rPr>
          <w:rFonts w:ascii="Times New Roman" w:cs="Times New Roman" w:eastAsia="Times New Roman" w:hAnsi="Times New Roman"/>
          <w:sz w:val="18"/>
          <w:szCs w:val="18"/>
          <w:color w:val="auto"/>
        </w:rPr>
        <w:t>. Mr. Horton has served as a Director since May 2023. Since March 2018, November 2021 and February 2022, respectively,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Horton has served as Chief Executive Officer of AR Horton Advisors, as an Independent Director for Equiniti Trust Company, and as Lead Independent Director for Team, Inc. Additionally, Mr. Horton served as an Independent Director of U.S. Renal Care from January 2023 to February 2024, Travelport GDS, UK from March 2020 to December 2023, Neiman Marcus’ Mariposa Holdings from April 2020 to September 2020, Seadrill Partners from January 2020 to May 2021, and Arena Energy from March 2020 to September 2020, among others, and served as Independent Director and Chairman of the board of directors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 We believe that Mr. Horton’s extensive financial and business expertise, including a diversified background of both senior leadership and director roles of public and private companies, makes him well-qualified to serve on our Board of Directors.</w:t>
      </w:r>
    </w:p>
    <w:p>
      <w:pPr>
        <w:spacing w:after="0" w:line="13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Karen Hyde</w:t>
      </w:r>
      <w:r>
        <w:rPr>
          <w:rFonts w:ascii="Times New Roman" w:cs="Times New Roman" w:eastAsia="Times New Roman" w:hAnsi="Times New Roman"/>
          <w:sz w:val="18"/>
          <w:szCs w:val="18"/>
          <w:color w:val="auto"/>
        </w:rPr>
        <w:t>. Ms. Hyde has served as a Director since May 2023. Until her retirement in 2022, Ms. Hyde served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Since 2013, Ms. Hyde has served with Volunteers of America CO Branch, including as Treasurer, on the board of directors, and as Chair of the Audit Committee. Ms. Hyde earned her M.S. in Mineral Economics from the Colorado School of Mines and her B.S. in Metallurgical Engineering from Lafayette College. We believe that Ms. Hyde’s extensive industry, regulatory and risk management experience makes her well-qualified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80"/>
          </w:cols>
          <w:pgMar w:left="320" w:top="121" w:right="39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Joseph Nigro</w:t>
      </w:r>
      <w:r>
        <w:rPr>
          <w:rFonts w:ascii="Times New Roman" w:cs="Times New Roman" w:eastAsia="Times New Roman" w:hAnsi="Times New Roman"/>
          <w:sz w:val="18"/>
          <w:szCs w:val="18"/>
          <w:color w:val="auto"/>
        </w:rPr>
        <w:t>. Mr. Nigro has served as a Director since May 2023. Mr. Nigro has served both as senior advisor to Blackstone Inc.’s energy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and on the board of directors of Kindle Energy LLC since July 2023. Mr. Nigro previously served as an advisor to the Exelon Chief Executive Officer 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We believe that Mr. Nigro’s extensive industry experience makes him well-qualified to serve on our Board of Directors.</w:t>
      </w:r>
    </w:p>
    <w:p>
      <w:pPr>
        <w:spacing w:after="0" w:line="12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Christine Benson Schwartzstein</w:t>
      </w:r>
      <w:r>
        <w:rPr>
          <w:rFonts w:ascii="Times New Roman" w:cs="Times New Roman" w:eastAsia="Times New Roman" w:hAnsi="Times New Roman"/>
          <w:sz w:val="18"/>
          <w:szCs w:val="18"/>
          <w:color w:val="auto"/>
        </w:rPr>
        <w:t>. Ms. Benson has served as a Director since May 2023. She has served on the boards of directors of Delek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since January 2024, Just Energy (U.S.) Corp. since February 2024, and Apollo Infrastructure Company since October 2023. Ms. Benson previously served as a member of Orion Infrastructure Capital’s (“OIC”) Senior Advisory Board after retiring as a Managing Director and Investment Principal in 2022. Before joining OIC, she spent 17 years in various roles at 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We believe that Ms. Benson’s extensive industry and financial and risk management experience makes her well-qualified to serve on our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our Charter, our Board of Directors consists of a single class. Each director is to hold office until his or her successor is duly elected and qualified or until his or her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Schaefer, Abbas, Horton and Nigro and Mses. Hyde and Benson do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risk oversight committee. The composition and responsibilities of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00"/>
          </w:cols>
          <w:pgMar w:left="320" w:top="121" w:right="37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committees of our Board of Directors are described below. Our Board of Directors may establish other committees as it deems necessary or appropriate from time to time.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Hyde and Messrs. Abbas and Horton. Our Board of Directors has determined that each member of our audit committee satisfies the independence requirements under the listing standards of Nasdaq and Rule 10A-3(b)(1) of the Exchange Act. The chair of our audit committee is Ms. Hyde. Our Board of Directors has determined that Ms. Hyde is an “audit committee financial expert” within the meaning of SEC regulations and that each member of our audit committee is financially sophisticated in accordance with applicable requirements. In arriving at these determinations, our Board of Directors has examined each audit committee member’s scope of experience and the nature of their employment.</w:t>
      </w:r>
    </w:p>
    <w:p>
      <w:pPr>
        <w:spacing w:after="0" w:line="1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 Hyde and Messrs. Abbas and Horton. The chair of our compensation committee is Mr. Horton. Our Board of Directors has determined that each member of our compensation committee is independent under the listing standards of Nasdaq and a “non-employee director” as defined in Rule 16b-3 promulgated under the Exchange Act.</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22" w:lineRule="exact"/>
        <w:rPr>
          <w:sz w:val="20"/>
          <w:szCs w:val="20"/>
          <w:color w:val="auto"/>
        </w:rPr>
      </w:pPr>
    </w:p>
    <w:p>
      <w:pPr>
        <w:ind w:left="660" w:right="8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21"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Benson and Messrs. Abbas and Nigro. The chair of our nominating and corporate governance committee is Mr. Abbas. Our Board of Directors has determined that each member of our nominating and corporate governance committee is independent under the listing standards of Nasdaq.</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7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 including recommending to our Board of Directors the nominees for election to our Board of Directors at annual meetings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Nasdaq.</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risk oversight committee consists of Ms. Benson and Messrs. Horton and Nigro. The chair of our risk oversight committee is Mr. Nigro.</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primary purpose of our risk oversight committee is to discharge the responsibilities of our Board of Directors in overseeing management’s process for the identification, evaluation and management of the key factors with the potential to have a material impact on the Company’s enterprise risk, the Company’s risk related to commodity prices, commercial transactions and trading, risks related to the operation of Company’s power generation assets (including nuclear and fossil operations generally) and the Company’s management of its insurance programs and investment policies.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our risk oversight committee include:</w:t>
      </w:r>
    </w:p>
    <w:p>
      <w:pPr>
        <w:spacing w:after="0" w:line="171" w:lineRule="exact"/>
        <w:rPr>
          <w:sz w:val="20"/>
          <w:szCs w:val="20"/>
          <w:color w:val="auto"/>
        </w:rPr>
      </w:pPr>
    </w:p>
    <w:p>
      <w:pPr>
        <w:ind w:left="660" w:right="92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to review and discuss with management the Company’s enterprise risk assessment and management’s process for the identification, evaluation and management of enterprise risk;</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discuss reports from management and provide feedback on credit, market and liquidity risks the Company faces, the exposures in each category, significant concentrations within those risk categories, the metrics used to monitor the exposures and management’s views on the acceptable and appropriate levels of those risk exposures;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1" w:right="3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any policies that the Company may have from time to time addressing regulatory matters.</w:t>
      </w:r>
    </w:p>
    <w:p>
      <w:pPr>
        <w:spacing w:after="0" w:line="171"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While we continue to maintain an internal risk management committee of senior management to monitor, measure, and manage risks in accordance with our risk policy, we have also established this independent risk oversight committee of the Board of Directors that makes this a key strategic priority.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following the effectiveness of the registration statement of which this prospectus forms a part, our code of business conduct and ethics will be available under the Corporate Governance section of our website at www.talenenergy.com.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Oversight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functions of the nuclear oversight committee are:</w:t>
      </w:r>
    </w:p>
    <w:p>
      <w:pPr>
        <w:spacing w:after="0" w:line="17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our Board of Directors in the fulfillment of its responsibilities for oversight of the Company’s nuclear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Company management on nuclear matters;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advice and recommendations to our Board of Directors concerning the future direction of the Company and management performance related to nuclear operations.</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Among other things, the nuclear oversight committee continually strives to ensure that the Company’s nuclear function has systems in place to protect the health and safety of the public and maintain compliance with applicable laws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 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21"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21"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2022, the Company commenced the Restructuring to, among other things, strengthen its financial position and provide additional liquidity to fund its operations. The Company emerged from the Restructuring in May 2023. For more information, see “Prospectus Summary—Recent Developments —Reorganization and Emergence.” Following its Emergence, the Company appointed the Board (or for the purposes of this section, the “Current Board”) and compensation committee thereof (the “Compensation Committee”) and made changes to its executive management team. For more information, see “Management.”</w:t>
      </w:r>
    </w:p>
    <w:p>
      <w:pPr>
        <w:spacing w:after="0" w:line="1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describes our compensation programs in effect for the year ended December 31, 2023, which include compensation arrangements put in place both prior to and during the Restructuring (the “Pre-Emergence Compensation Program”) as well as those put in place following Emergence (the “Current Compensation Program”).</w:t>
      </w:r>
    </w:p>
    <w:p>
      <w:pPr>
        <w:spacing w:after="0" w:line="12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compensation paid to our “named executive officers” (“NEOs”) during 2023 was based on the Pre-Emergence Compensation Program from January 1, 2023 until May 16, 2023 and was based on the Current Compensation Program from May 17, 2023 until December 31, 2023, where applicable, this Compensation Discussion and Analysis describes how each applicable compensation component (i) is currently considered and used under the Current Compensation Program and (ii) was previously considered and used under the Pre-Emergence Compensation Program.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Named Executive Officers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the material elements of compensation that were paid to, awarded to, or earned by our NEOs for 2023, which included the Company’s principal executive officer, principal financial officer, and the three other most highly compensated executive officers employed at the end of 2023 (such NEOs collectively, the “Current NEOs”), as well as the Company’s former principal executive officer and former principal financial officer, both of whom were employed by the Company for a portion of 2023. For 2023, our NEOs and their positions were:</w:t>
      </w:r>
    </w:p>
    <w:p>
      <w:pPr>
        <w:spacing w:after="0" w:line="12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“Mac” McFarland, President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Nutt,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Chief Administrative Officer (and Former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Wander,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Alejandro Hernandez, Former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Chesser, Former Chief Financial Officer.</w:t>
      </w:r>
    </w:p>
    <w:p>
      <w:pPr>
        <w:spacing w:after="0" w:line="17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made several changes to our senior management team in 2023 in connection with Emergence: (i) Mr. Hernandez departed the Company in May 2023, at which time Mr. McFarland was appointed as President and Chief Executive Officer, (ii) Mr. Wright transitioned from his role as General Counsel and Corporate Secretary to the role of Chief Administrative Officer in June 2023, at which time Mr. Wander was appointed as General Counsel and Corporate Secretary, and (iii) Mr. Chesser departed the Company in July 2023, at which time Mr. Nutt was appointed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NEOs and oversees and administers our executive compensation programs and initiatives. As we gain experience as a public company, we expect that the specific direction, emphasis and components of our executive compensation program will continue to evolve.</w:t>
      </w:r>
    </w:p>
    <w:p>
      <w:pPr>
        <w:spacing w:after="0" w:line="12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while balancing the extenuating and evolving circumstances created by our recent Restructuring. Our executive compensation program is designed to:</w:t>
      </w:r>
    </w:p>
    <w:p>
      <w:pPr>
        <w:spacing w:after="0" w:line="12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entire executive management team and the Company; and</w:t>
      </w:r>
    </w:p>
    <w:p>
      <w:pPr>
        <w:spacing w:after="0" w:line="66"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objectives.</w:t>
      </w:r>
    </w:p>
    <w:p>
      <w:pPr>
        <w:spacing w:after="0" w:line="21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EBITDA, and free cash flow.</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Determining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Named Executive Officers in the Current Compensation Program</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Our Chief Executive Officer will review annually each other NEO’s performance with our Compensation Committee and recommend appropriate base salary changes, cash performance awards and grants of long-term equity incentive awards (if any). Based upon the recommendations of our Chief Executive Officer and in consideration of the objectives described above and the principles described below, our Compensation Committee will approve the annual compensation packages of our executive officers other than our Chief Executive Officer. Our Compensation Committee also will annually analyze our Chief Executive Officer’s performance and determine his base salary changes, cash performance awards and grants of long-term equity incentive awards (if any) based on its assessment of his performance with input from any consultants engaged by our Compensation Committee. Our Compensation Committee will then recommend to the Current Board any such changes it deems appropriate to our Chief Executive Officer’s compensation package, and the Current Board will approve any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Prior Board and the Restructuring Committee in the Pre-Emergence Compensation Program</w:t>
      </w:r>
    </w:p>
    <w:p>
      <w:pPr>
        <w:spacing w:after="0" w:line="173"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Compensation decisions with respect to our NEOs prior to Emergence, including the design and adoption of the Pre-Emergence Compensation Program in place from January 1, 2023 to May 17, 2023 were made by the board of directors prior to the Restructuring (the “Prior Board”), and decisions made during the Restructuring were generally made by the Restructuring Committee of the TES board of managers (the “Restructuring Committee”) and approved by the Bankruptcy Court. The compensation paid to our NEOs prior to Emergence in 2023 is not indicative of how we compensate our Current NEOs (or expect to do so in the future), as it was significantly impacted by circumstances that the Prior Board and the Restructuring Committee determined justified changes in order to focus on cash retention and short-term incentives during the Restructuring. As discussed above, upon Emergence, the Company implemented the Current Compensation Program and pivoted toward an increased use of long-term incentives to facilitate stakeholder alignment.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Compensation Consultants</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our Compensation Committee has retained Lyons, Benenson &amp; Company, Inc. (“LB &amp; Co.”) as its independent compensation consultant. In such capacity, LB &amp; Co. assisted with the design of the Current Compensation Program, reviewed our executive compensation policies and procedures following Emergence,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w:t>
      </w:r>
    </w:p>
    <w:p>
      <w:pPr>
        <w:spacing w:after="0" w:line="13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Prior Board and the Restructuring Committee retained Willis Towers Watson plc (“WTW”) as independent compensation consultant to assist in designing the Pre-Emergence Compensation Program.</w:t>
      </w:r>
    </w:p>
    <w:p>
      <w:pPr>
        <w:spacing w:after="0" w:line="108" w:lineRule="exact"/>
        <w:rPr>
          <w:sz w:val="20"/>
          <w:szCs w:val="20"/>
          <w:color w:val="auto"/>
        </w:rPr>
      </w:pPr>
    </w:p>
    <w:p>
      <w:pPr>
        <w:ind w:left="340" w:right="1700"/>
        <w:spacing w:after="0" w:line="438" w:lineRule="auto"/>
        <w:rPr>
          <w:sz w:val="20"/>
          <w:szCs w:val="20"/>
          <w:color w:val="auto"/>
        </w:rPr>
      </w:pPr>
      <w:r>
        <w:rPr>
          <w:rFonts w:ascii="Times New Roman" w:cs="Times New Roman" w:eastAsia="Times New Roman" w:hAnsi="Times New Roman"/>
          <w:sz w:val="18"/>
          <w:szCs w:val="18"/>
          <w:color w:val="auto"/>
        </w:rPr>
        <w:t xml:space="preserve">Neither LB &amp; Co. nor WTW provided services to the Company other than the compensation advisory services described above. </w:t>
      </w:r>
      <w:r>
        <w:rPr>
          <w:rFonts w:ascii="Times New Roman" w:cs="Times New Roman" w:eastAsia="Times New Roman" w:hAnsi="Times New Roman"/>
          <w:sz w:val="18"/>
          <w:szCs w:val="18"/>
          <w:i w:val="1"/>
          <w:iCs w:val="1"/>
          <w:color w:val="auto"/>
        </w:rPr>
        <w:t>Benchmarking</w:t>
      </w:r>
    </w:p>
    <w:p>
      <w:pPr>
        <w:spacing w:after="0" w:line="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Prior Board recognized that our success was dependent on our ability to attract and retain skilled executive officers, especially during the Restructuring. Thus, when designing the Pre-Emergence Compensation Program, the Prior Board and the Restructuring Committee, with assistance from WTW, reviewed and considered the compensation paid by our known competitors. The competitive market data provided by WTW was based, in part, on the peer group below, which was developed by WTW.</w:t>
      </w:r>
    </w:p>
    <w:p>
      <w:pPr>
        <w:spacing w:after="0" w:line="126"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Following Emergence, in furtherance of the post-Emergence compensation objectives discussed above, our Compensation Committee engaged LB &amp; Co. to review and update the Company’s existing peer group. After its review, LB &amp; Co. recommended maintaining the Company’s existing peer group. LB</w:t>
      </w:r>
    </w:p>
    <w:p>
      <w:pPr>
        <w:spacing w:after="0" w:line="1" w:lineRule="exact"/>
        <w:rPr>
          <w:sz w:val="20"/>
          <w:szCs w:val="20"/>
          <w:color w:val="auto"/>
        </w:rPr>
      </w:pPr>
    </w:p>
    <w:p>
      <w:pPr>
        <w:ind w:right="160" w:firstLine="8"/>
        <w:spacing w:after="0" w:line="260" w:lineRule="auto"/>
        <w:tabs>
          <w:tab w:leader="none" w:pos="1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reviewed and considered the compensation paid by the Company’s peer group in terms of the elements of pay, total available pay opportunities and compensation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Both WTW, with respect to the Pre-Emergence Compensation Program, and LB &amp; Co., with respect to the Current Compensation Program, used the following peer group in forming their recommendations: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Vistra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CyrusOne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 AES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Black Hills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DigitalBridgeGroup,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PNM Resources,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CoreSite Realty Corporation</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PPL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IDACORP,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QTS Realty Trust,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Iron Mountain Incorporated</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Avista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Sunnova Energy International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Pinnacle West Capital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ALLETE,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Riot Blockchain,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06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OGE Energy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Clearway Energy, Inc.</w:t>
            </w:r>
          </w:p>
        </w:tc>
        <w:tc>
          <w:tcPr>
            <w:tcW w:w="3060" w:type="dxa"/>
            <w:vAlign w:val="bottom"/>
          </w:tcPr>
          <w:p>
            <w:pPr>
              <w:spacing w:after="0"/>
              <w:rPr>
                <w:sz w:val="20"/>
                <w:szCs w:val="20"/>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132"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The Company has determined that any risks arising from our Current Compensation Program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Emergence policies are not reasonably likely to have a material adverse effect on the Company. These compensation programs and policies manage risk by combining performance-based, long-term compensation elements with payouts that are highly correlated to the value delivered to stockholders, which encourages employees to maintain both a short- and a long-term view with respect to Company performance.</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Current Compensation Program, which was put in place at Emergence, is set by our Compensation Committee and consists of the following components:</w:t>
      </w:r>
    </w:p>
    <w:p>
      <w:pPr>
        <w:spacing w:after="0" w:line="10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restricted stock units and performance stock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17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 Mix</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 compensation elements mentioned above collectively provide a well-proportioned mix of secure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7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the year that is not contingent on short-term variations in our corporate performance. Our Compensation Committee determines market-level base salaries based on our executives’ experience in the industry with reference to the base salaries of similarly situated executives in other companies of similar size and stage of development operating in our industry. This determination is informal and based primarily on our Compensation Committee’s general knowledge of the compensation practices within our industry. The base salaries paid to our NEOs in 2023 are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160" w:type="dxa"/>
            <w:vAlign w:val="bottom"/>
          </w:tcPr>
          <w:p>
            <w:pPr>
              <w:spacing w:after="0"/>
              <w:rPr>
                <w:sz w:val="13"/>
                <w:szCs w:val="13"/>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4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McFarland, Nutt and Wander were hired in May 2023, July 2023, and June 2023, respectively, and their base salaries were determined under the Current Compensation Program.</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Emergence, Mr. Berryman entered into a new employment agreement pursuant to which he received a salary increase, as reflected in this table.</w:t>
      </w:r>
    </w:p>
    <w:p>
      <w:pPr>
        <w:spacing w:after="0" w:line="14" w:lineRule="exact"/>
        <w:rPr>
          <w:rFonts w:ascii="Times New Roman" w:cs="Times New Roman" w:eastAsia="Times New Roman" w:hAnsi="Times New Roman"/>
          <w:sz w:val="14"/>
          <w:szCs w:val="14"/>
          <w:color w:val="auto"/>
        </w:rPr>
      </w:pPr>
    </w:p>
    <w:p>
      <w:pPr>
        <w:ind w:left="340" w:right="560" w:hanging="332"/>
        <w:spacing w:after="0" w:line="261" w:lineRule="auto"/>
        <w:tabs>
          <w:tab w:leader="none" w:pos="33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Emergence, Mr. Wright’s base salary increased in June 2023 in connection with his transition from General Counsel and Corporate Secretary to his role as Chief Administrative Officer.</w:t>
      </w:r>
    </w:p>
    <w:p>
      <w:pPr>
        <w:ind w:left="320" w:hanging="312"/>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Hernandez and Chesser left the Company in May 2023 and July 2023, respectively.</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Cash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and Pre-Emergence Compensation Program: STI Program</w:t>
      </w:r>
    </w:p>
    <w:p>
      <w:pPr>
        <w:spacing w:after="0" w:line="17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Both prior to and following Emergence, the Company has maintained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offer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corporate results.</w:t>
      </w:r>
    </w:p>
    <w:p>
      <w:pPr>
        <w:spacing w:after="0" w:line="133"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Current STI Program. </w:t>
      </w:r>
      <w:r>
        <w:rPr>
          <w:rFonts w:ascii="Times New Roman" w:cs="Times New Roman" w:eastAsia="Times New Roman" w:hAnsi="Times New Roman"/>
          <w:sz w:val="18"/>
          <w:szCs w:val="18"/>
          <w:color w:val="auto"/>
        </w:rPr>
        <w:t>Following Emergence, our Compensation Committee has authority to award annual cash bonuses to our NEOs under the STI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On an annual basis, or at the commencement of an executive officer’s employment with us, our Compensation Committee typically sets a target level of bonus compensation that is structured as a percentage of such executive officer’s annual base salary. Following Emergence, the Compensation Committee approved bonus opportunities under the STI Program for the Current NEOs for the second half of 2023 (the “Current STI Program”), with target levels of aggregate bonus compensation structured as a percentage of base salary, as set forth in the table below, in each case, earned based upon the achievement of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determined by our Compensation Committee, as discussed in more detail below. Annual bonus payouts may range from 0-200% of target, depending on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Payout (% of</w:t>
            </w:r>
          </w:p>
        </w:tc>
        <w:tc>
          <w:tcPr>
            <w:tcW w:w="160" w:type="dxa"/>
            <w:vAlign w:val="bottom"/>
          </w:tcPr>
          <w:p>
            <w:pPr>
              <w:spacing w:after="0"/>
              <w:rPr>
                <w:sz w:val="13"/>
                <w:szCs w:val="13"/>
                <w:color w:val="auto"/>
              </w:rPr>
            </w:pPr>
          </w:p>
        </w:tc>
        <w:tc>
          <w:tcPr>
            <w:tcW w:w="14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 Target Payout</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McFarland’s 2023 target bonus will be computed pro-rata for the number of days employed during the performance year.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Berryman’s and Wright’s payouts will be adjusted to reflect previously received payouts under the various 2023 bonus programs.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their respective employment agreements, Messrs. Nutt’s and Wander’s payouts will be paid as though they were employed during the entire performance year.</w:t>
      </w:r>
    </w:p>
    <w:p>
      <w:pPr>
        <w:spacing w:after="0" w:line="16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Payouts under the Current STI Program were determined based on the Company’s achievement, during the second half of 2023, of safety goals (measured against “Lost Time Incident Rate” performance metrics, as defined below), “Equivalent Forced Outage Factor” performance metrics, as defined below, financial goals (measured against Adjusted EBITDA and Adjusted Free Cash Flow performance metrics) and the Company’s progress toward the transformation of its asset base, as set forth and described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2H 2023 (% of</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(50%)</w:t>
            </w:r>
          </w:p>
        </w:tc>
        <w:tc>
          <w:tcPr>
            <w:tcW w:w="100" w:type="dxa"/>
            <w:vAlign w:val="bottom"/>
          </w:tcPr>
          <w:p>
            <w:pPr>
              <w:spacing w:after="0"/>
              <w:rPr>
                <w:sz w:val="17"/>
                <w:szCs w:val="17"/>
                <w:color w:val="auto"/>
              </w:rPr>
            </w:pPr>
          </w:p>
        </w:tc>
        <w:tc>
          <w:tcPr>
            <w:tcW w:w="16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7"/>
                <w:szCs w:val="17"/>
                <w:color w:val="auto"/>
              </w:rPr>
            </w:pP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28"/>
        </w:trPr>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1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5"/>
        </w:trPr>
        <w:tc>
          <w:tcPr>
            <w:tcW w:w="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Forced Outage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Performance</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1"/>
                <w:szCs w:val="21"/>
                <w:color w:val="auto"/>
              </w:rPr>
            </w:pP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 million</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 million</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 million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million</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 million</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 million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175"/>
        </w:trPr>
        <w:tc>
          <w:tcPr>
            <w:tcW w:w="29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of Transformation</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7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multiplied by 200,000 divided by the total number of hours worked (“Lost Time Incident Rate”).</w:t>
      </w:r>
    </w:p>
    <w:p>
      <w:pPr>
        <w:spacing w:after="0" w:line="11"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Forced Outage Performance is measured as the fraction of a given period in which a generating unit is not available due to forced outages and forced derating (“Equivalent Forced Outage Factor”).</w:t>
      </w:r>
    </w:p>
    <w:p>
      <w:pPr>
        <w:spacing w:after="0" w:line="1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March 2024, the Compensation Committee certified that, based on the above performance and weightings, performance metrics were collectively satisfied at 94.07% under the Current STI Program in respect of the second half of 2023 for each Current NEO. The Compensation Committee further certified, based on annual performance and weightings, that performance metrics were collectively satisfied at 152.3% for the first quarter of 2023 and 134.1% for the second quarter of 2023, in each case, under the Pre-Emergence STI Program (discussed further below). As Mr. McFarland was not employed until the second quarter of 2023, he did not receive a bonus amount for the first quarter performance period, and he received a pro-rated bonus amount for the second quarter of 2023 (certified at a 94.07% level based on actual performance). Both Messrs. Nutt and Wander were entitled to full year annual bonus payments for 2023 under the terms of their employment agreements. However, because they were not employed by the Company during the first and second quarters of 2023, the Compensation Committee determined to adjust the performance achievement of the Company-wide metrics under the STI Program downward to reflect achievement at 100% for the first and second quarters of 2023 rather than the actual level of performance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 Multiplier</w:t>
      </w:r>
    </w:p>
    <w:p>
      <w:pPr>
        <w:spacing w:after="0" w:line="173" w:lineRule="exact"/>
        <w:rPr>
          <w:sz w:val="20"/>
          <w:szCs w:val="20"/>
          <w:color w:val="auto"/>
        </w:rPr>
      </w:pPr>
    </w:p>
    <w:p>
      <w:pPr>
        <w:jc w:val="both"/>
        <w:ind w:right="40" w:firstLine="324"/>
        <w:spacing w:after="0" w:line="270" w:lineRule="auto"/>
        <w:rPr>
          <w:sz w:val="20"/>
          <w:szCs w:val="20"/>
          <w:color w:val="auto"/>
        </w:rPr>
      </w:pPr>
      <w:r>
        <w:rPr>
          <w:rFonts w:ascii="Times New Roman" w:cs="Times New Roman" w:eastAsia="Times New Roman" w:hAnsi="Times New Roman"/>
          <w:sz w:val="17"/>
          <w:szCs w:val="17"/>
          <w:color w:val="auto"/>
        </w:rPr>
        <w:t>After performance is determined for the STI Program based on the metrics described above, an individual multiplier is applied to each Current NEO’s annual bonus amount to determine each Current NEO’s overall earned 2023 STI amount. A Current NEO’s individual multiplier is determined by the Chief Executive Officer’s rating of each Current NEO’s individual performance (except his own) on a scale of 1 to 5 (with 5 being the highest), with the resulting multiplier determined, in consultation with the Compensation Committee, based on the recommended range for such rating, as shown in the chart below.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determines the individual rating for the Chief Executive Officer on the same scale.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Bonus Performance Rating and Related Individual Multiplier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7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the ratings recommended by the Chief Executive Officer and the Board’s independent determination of the CEO’s individual performance, an individual multiplier of 135% was applied to each Current NEO’s annual 2023 STI payment. Accordingly, each Current NEO received the following total for 2023 STI.</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 2023 STI Payout Prior to</w:t>
            </w:r>
          </w:p>
        </w:tc>
        <w:tc>
          <w:tcPr>
            <w:tcW w:w="30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 STI Total Payout</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Applying Multiplier</w:t>
            </w:r>
          </w:p>
        </w:tc>
        <w:tc>
          <w:tcPr>
            <w:tcW w:w="3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879,181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847,210</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actual payments made in 2024 for performance under the STI Program for Messrs. Berryman and Wright were reduced to reflect previously paid bonus amounts with respect to the Pre-Emergence STI Program (described below).</w:t>
      </w:r>
    </w:p>
    <w:p>
      <w:pPr>
        <w:spacing w:after="0" w:line="10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Pre-Emergence 2023 STI Program. </w:t>
      </w:r>
      <w:r>
        <w:rPr>
          <w:rFonts w:ascii="Times New Roman" w:cs="Times New Roman" w:eastAsia="Times New Roman" w:hAnsi="Times New Roman"/>
          <w:sz w:val="18"/>
          <w:szCs w:val="18"/>
          <w:color w:val="auto"/>
        </w:rPr>
        <w:t>Prior to Emergence, the Prior Board and the Restructuring Committee approved quarterly bonus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employees under the STI Program for 2023 (the “Pre-Emergence 2023 STI Program”), with target levels of aggregate bonus compensation structured as a percentage of base salary. Payouts were determined based on the Company’s achievement of its Business Plan Investment goals (measured against Operations and Maintenance; CapEx and General and Administrative performance metrics), Safety goals (measured against Lost Time Incident Rate performance metrics), Equivalent Forced Outage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performance metrics, and the Company’s progress toward recapitalization and the transformation of its asset base, as set forth and described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Q2 2023</w:t>
            </w: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(125 – 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74"/>
        </w:trPr>
        <w:tc>
          <w:tcPr>
            <w:tcW w:w="32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$880 million</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$1,190 million</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 million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(125%)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Forced Outage Performance</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(250%)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on Recapitalization</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Metrics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Guidelines (200%)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 of Transformation</w:t>
            </w:r>
          </w:p>
        </w:tc>
        <w:tc>
          <w:tcPr>
            <w:tcW w:w="1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right="1640"/>
        <w:spacing w:after="0" w:line="203" w:lineRule="auto"/>
        <w:rPr>
          <w:sz w:val="20"/>
          <w:szCs w:val="20"/>
          <w:color w:val="auto"/>
        </w:rPr>
      </w:pPr>
      <w:r>
        <w:rPr>
          <w:rFonts w:ascii="Times New Roman" w:cs="Times New Roman" w:eastAsia="Times New Roman" w:hAnsi="Times New Roman"/>
          <w:sz w:val="18"/>
          <w:szCs w:val="18"/>
          <w:color w:val="auto"/>
        </w:rPr>
        <w:t>Metrics /</w:t>
      </w:r>
    </w:p>
    <w:p>
      <w:pPr>
        <w:jc w:val="right"/>
        <w:ind w:right="1640"/>
        <w:spacing w:after="0"/>
        <w:rPr>
          <w:sz w:val="20"/>
          <w:szCs w:val="20"/>
          <w:color w:val="auto"/>
        </w:rPr>
      </w:pPr>
      <w:r>
        <w:rPr>
          <w:rFonts w:ascii="Times New Roman" w:cs="Times New Roman" w:eastAsia="Times New Roman" w:hAnsi="Times New Roman"/>
          <w:sz w:val="18"/>
          <w:szCs w:val="18"/>
          <w:color w:val="auto"/>
        </w:rPr>
        <w:t>Guidelines (200%)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59"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on an annual basis by comparing actual levels of Operations and Maintenance; CapEx and General and Administrative expenditures as compared against the projected levels of such expenditures in the Company’s business plan.</w:t>
      </w: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6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pendency of the Restructuring, NEOs were not eligible to participate in the Pre-Emergence 2023 STI Program and instead received cash bonuses under an Advanced STI Bonus and the KEIP (both discussed in further detail below) for the first quarter of 2023.</w:t>
      </w:r>
    </w:p>
    <w:p>
      <w:pPr>
        <w:spacing w:after="0" w:line="10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For the first quarter of 2023, amounts under the Pre-Emergence 2023 STI Program were prepaid to each participating NEO in April 2022 at target performance level (the “Advanced STI Bonus”), to be earned and retained subject to continued employment through March 31, 2023 and achievement of the applicable performance targets. The Advanced STI Bonuses were subject to clawback provisions until fully earned. In April 2023, the Prior Board deemed all performance metrics were collectively satisfied at 130.2% in respect of the first quarter of 2023 for our participating NEOs, which remained subject to the certification of annual metrics at the end of the year. Accordingly, the portions of the Advanced STI Bonuses in respect of the first quarter of 2023 were deemed earned as of March 31, 2023 and are included in the Summary Compensation Table for compensation earned during 2023 for our participating NEOs. However, because their prepaid amounts reflected 100% performance, additional amounts were paid to Messrs. Berryman and Wright in 2024 to reflect the difference between what was previously paid and actual performance. In March 2024, the Compensation Committee subsequently certified the performance for the first quarter of 2023 at 152.3% to reflect the ultimate achievement of the Business Plan Investment metric at 167.2%.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Advanced STI Bonuses paid to each participating NEO in respect of Q1 2023 performance, earned in March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STI Bonus</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Opportunity</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Q1 2023</w:t>
            </w: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Following Emergence, for the second quarter of 2023, the remaining NEOs that remained with the Company (i.e., Messrs. Berryman and Wright) became eligible to participate in the Pre-Emergence 2023 STI Program (based on the performance metrics above), and received cash bonuses under the Pre-Emergence 2023 STI Program for the second quarter of 2023. In August 2023, the Compensation Committee certified performance under the Pre-Emergence 2023 STI Program for the second quarter of 2023 in the amounts described above at 127.6%, which remained subject to the certification of annual metrics at the end of the year. The portions of the 2023 annual bonuses with respect to performance during the second quarter of 2023 were paid in August 2023 (the “Q2 Annual Bonus Payout”) to Messrs. Berryman and Wright in the amounts of $137,500 and $132,500, respectively. In March 2024, the Compensation Committee subsequently certified the performance for the first quarter of 2023 at 134.1% to reflect the ultimate achievement of the Business Plan Investment metric at 167.2%.</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Key Employee Incentive Plan</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2022, the Bankruptcy Court approved the TES Key Employee Incentive Plan (the “KEIP”), pursuant to which certain key employees identified by the Prior Board, including Messrs. Hernandez, Chesser, Berryman and Wright, were eligible to earn certain performance-related bonuses during the period beginning in the second quarter of 2022 through the third quarter of 2023; however, as the Restructuring was completed in the second quarter of 2023, the KEIP was terminated and no bonuses were earned or paid thereunder for the third quarter of 2023. Such NEOs were eligible to earn the following bonuses under the KEIP in 2023: (i) quarterly incentive payments based on achievement of business plan targets for Equivalent Forced Outage Factor, Safety, and Business Plan Investment (as described below) measured against performance metrics for each of the fourth quarter of 2022 and the first and second quarters of 2023 (collectively, the “Quarterly Performance Bonuses”), (ii) incentive payments based on the Company’s entry into binding agreements to sell certain non-core assets and the proceeds therefrom, to be paid out 50% upon execution of such binding agreement and 50% upon the Company’s receipt of the proceeds (collectively, the “Asset Sale Bonuses”), and (iii) an incentive payment based on achievement of the Company’s Incremental Cash Balance as of March 31, 2023 (the “Cash Balance Bonus” and the incentive payments described in (i) through (iii) collectively, the “KEIP Payments”). The KEIP Payments are in addition to amounts earned by our NEOs under the STI Program.</w:t>
      </w:r>
    </w:p>
    <w:p>
      <w:pPr>
        <w:spacing w:after="0" w:line="13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potential amount payable to each participating NEO upon the conclusion of each applicable performance period was based on the achievement of specified performance metrics for each applicable performance period as set forth in the table below and subject to the NEO’s continued employment through the date of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levels, performance period and timing of payment for each component of the KEIP that was eligible to be earned by the participating NEOs in 2023 is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 w:type="dxa"/>
            <w:vAlign w:val="bottom"/>
          </w:tcPr>
          <w:p>
            <w:pPr>
              <w:spacing w:after="0"/>
              <w:rPr>
                <w:sz w:val="2"/>
                <w:szCs w:val="2"/>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Payout Timing</w:t>
            </w: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8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Equivalent Forced Outage Factor</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Safety</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52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5"/>
                <w:szCs w:val="15"/>
                <w:color w:val="auto"/>
              </w:rPr>
            </w:pPr>
          </w:p>
        </w:tc>
        <w:tc>
          <w:tcPr>
            <w:tcW w:w="1520" w:type="dxa"/>
            <w:vAlign w:val="bottom"/>
          </w:tcPr>
          <w:p>
            <w:pPr>
              <w:jc w:val="right"/>
              <w:ind w:right="135"/>
              <w:spacing w:after="0" w:line="17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1520" w:type="dxa"/>
            <w:vAlign w:val="bottom"/>
          </w:tcPr>
          <w:p>
            <w:pPr>
              <w:jc w:val="right"/>
              <w:ind w:right="134"/>
              <w:spacing w:after="0" w:line="17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110% of Target</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Business Plan</w:t>
            </w: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90% of Target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Target</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Cash Balance</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$0 - $120 million</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$482 million</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$751 million</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As soon as</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practicable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following March</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31, 2023</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 i.e., the total number of lost time injuries times 200,000 divided by the total number of hours worked.</w:t>
      </w:r>
    </w:p>
    <w:p>
      <w:pPr>
        <w:spacing w:after="0" w:line="14"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by comparing actual levels of Operations and Maintenance; CapEx and General and Administrative expenditures as compared against the projected levels of such expenditures in the Company’s business plan.</w:t>
      </w:r>
    </w:p>
    <w:p>
      <w:pPr>
        <w:spacing w:after="0" w:line="125" w:lineRule="exact"/>
        <w:rPr>
          <w:sz w:val="20"/>
          <w:szCs w:val="20"/>
          <w:color w:val="auto"/>
        </w:rPr>
      </w:pPr>
    </w:p>
    <w:p>
      <w:pPr>
        <w:jc w:val="both"/>
        <w:ind w:right="500" w:firstLine="324"/>
        <w:spacing w:after="0" w:line="312" w:lineRule="auto"/>
        <w:rPr>
          <w:sz w:val="20"/>
          <w:szCs w:val="20"/>
          <w:color w:val="auto"/>
        </w:rPr>
      </w:pPr>
      <w:r>
        <w:rPr>
          <w:rFonts w:ascii="Times New Roman" w:cs="Times New Roman" w:eastAsia="Times New Roman" w:hAnsi="Times New Roman"/>
          <w:sz w:val="17"/>
          <w:szCs w:val="17"/>
          <w:color w:val="auto"/>
        </w:rPr>
        <w:t>The table below details the threshold and maximum payout as a percentage of target for each performance metric. With respect to the Asset Sale Bonuses, the KEIP provided for a payment equal to 1.9782% of the first $70 million of proceeds from consummation of any sales of non-core assets.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gridSpan w:val="5"/>
            <w:vMerge w:val="restart"/>
          </w:tcPr>
          <w:p>
            <w:pPr>
              <w:jc w:val="center"/>
              <w:ind w:left="1216"/>
              <w:spacing w:after="0"/>
              <w:rPr>
                <w:sz w:val="20"/>
                <w:szCs w:val="20"/>
                <w:color w:val="auto"/>
              </w:rPr>
            </w:pPr>
            <w:r>
              <w:rPr>
                <w:rFonts w:ascii="Times New Roman" w:cs="Times New Roman" w:eastAsia="Times New Roman" w:hAnsi="Times New Roman"/>
                <w:sz w:val="14"/>
                <w:szCs w:val="14"/>
                <w:b w:val="1"/>
                <w:bCs w:val="1"/>
                <w:color w:val="auto"/>
              </w:rPr>
              <w:t>KEIP Payout Range (% of Target)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 for</w:t>
            </w: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5"/>
            <w:vMerge w:val="continue"/>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Q2 2023</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Forced Outage Factor</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Incremental Cash Balance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amounts were earned and paid out under the KEIP in 2023:</w:t>
      </w:r>
    </w:p>
    <w:p>
      <w:pPr>
        <w:spacing w:after="0" w:line="171" w:lineRule="exact"/>
        <w:rPr>
          <w:sz w:val="20"/>
          <w:szCs w:val="20"/>
          <w:color w:val="auto"/>
        </w:rPr>
      </w:pPr>
    </w:p>
    <w:p>
      <w:pPr>
        <w:ind w:left="660" w:right="520" w:hanging="328"/>
        <w:spacing w:after="0" w:line="312" w:lineRule="auto"/>
        <w:tabs>
          <w:tab w:leader="none" w:pos="65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 Board and/or Restructuring Committee (and for the second quarter of 2023, the Compensation Committee) certified the following performance achievements for Quarterly Performance Bonuses and, for the first quarter of 2023, the Cash Balance Bonus, under the KEIP:</w:t>
      </w:r>
    </w:p>
    <w:p>
      <w:pPr>
        <w:spacing w:after="0" w:line="85" w:lineRule="exact"/>
        <w:rPr>
          <w:rFonts w:ascii="Times New Roman" w:cs="Times New Roman" w:eastAsia="Times New Roman" w:hAnsi="Times New Roman"/>
          <w:sz w:val="17"/>
          <w:szCs w:val="17"/>
          <w:color w:val="auto"/>
        </w:rPr>
      </w:pPr>
    </w:p>
    <w:p>
      <w:pPr>
        <w:ind w:left="980" w:right="760" w:hanging="324"/>
        <w:spacing w:after="0" w:line="282" w:lineRule="auto"/>
        <w:tabs>
          <w:tab w:leader="none" w:pos="9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2023, total weighted performance (based on the performance for each metric set forth in the above table) was determined to be 70%, with amounts paid out in April 2023.</w:t>
      </w:r>
    </w:p>
    <w:p>
      <w:pPr>
        <w:spacing w:after="0" w:line="10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separation agreements, each of Messrs. Hernandez and Chesser received prorated KEIP Payments for the second quarter of 2023 through the date of Emergence equal to $76,449 and $22,935, respectively. At Emergence, Messrs. Berryman and Wright were transitioned to the Current STI Program and did not receive KEIP Payments for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4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Committee certified certain “Asset Sale Bonuses” payable in connection with the sales of (i) certain mineral interests in Pennsylvania, (ii) an asset management and gas transportation agreement, and (iii) an office building in Montana. The Asset Sale Bonuses were paid between March and May 2023.</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KEIP was terminated upon Emergence in connection with the adoption of the Current STI Program described above.</w:t>
      </w:r>
    </w:p>
    <w:p>
      <w:pPr>
        <w:spacing w:after="0" w:line="17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Payments made to our NEOs under the KEIP for performance during 2023 are shown in the table directly below, and the aggregate payments made under the KEIP for 2023 performance are reported in the Summary Compensation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Quarterly Performance Bonuses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 Sale Bonuses ($)</w:t>
            </w:r>
          </w:p>
        </w:tc>
        <w:tc>
          <w:tcPr>
            <w:tcW w:w="0" w:type="dxa"/>
            <w:vAlign w:val="bottom"/>
          </w:tcPr>
          <w:p>
            <w:pPr>
              <w:spacing w:after="0"/>
              <w:rPr>
                <w:sz w:val="1"/>
                <w:szCs w:val="1"/>
                <w:color w:val="auto"/>
              </w:rPr>
            </w:pPr>
          </w:p>
        </w:tc>
      </w:tr>
      <w:tr>
        <w:trPr>
          <w:trHeight w:val="190"/>
        </w:trPr>
        <w:tc>
          <w:tcPr>
            <w:tcW w:w="6340" w:type="dxa"/>
            <w:vAlign w:val="bottom"/>
            <w:gridSpan w:val="2"/>
            <w:vMerge w:val="continue"/>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Q2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116,776</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467,107</w:t>
            </w:r>
          </w:p>
        </w:tc>
        <w:tc>
          <w:tcPr>
            <w:tcW w:w="0" w:type="dxa"/>
            <w:vAlign w:val="bottom"/>
          </w:tcPr>
          <w:p>
            <w:pPr>
              <w:spacing w:after="0"/>
              <w:rPr>
                <w:sz w:val="1"/>
                <w:szCs w:val="1"/>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prorated payment made to NEO under the KEIP for the second quarter of 2023 through the date of Emergence, pursuant to the applicable Separation Agreement.</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Special Emergence Bonuses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June 2023, Messrs. Berryman, Wright and Chesser were awarded and paid one-time cash bonuses in amounts of $300,000, $200,000 and $300,000, respectively, in recognition of their contributions during the Restructuring.</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Equity-Based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Current Compensation Program: 2023 Equity Incentive Plan and Equity Awards</w:t>
      </w:r>
    </w:p>
    <w:p>
      <w:pPr>
        <w:spacing w:after="0" w:line="17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Emergence, the Current Board approved the Talen Energy Corporation 2023 Equity Incentive Plan (the “2023 Equity Plan”), a new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Current Board, as delegated to the Compensation Committee. A total of 7,083,461 shares of our common stock have been reserved for issuance with respect to awards under the 2023 Equity Plan.</w:t>
      </w:r>
    </w:p>
    <w:p>
      <w:pPr>
        <w:spacing w:after="0" w:line="1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Grants of time-based restricted stock units (“RSUs”) and performance-based restricted stock units (“PSUs”) were made to the Current NEOs. The amount of each award was based on the executive’s scope of responsibility and contribution to value creation, market-based compensation data and other relevant factors determined by our Compensation Committee in its discretion. These grants were intended to represent each executive’s long-term incentive grants for the first three years following Emergence, and regular annual long-term incentive grants are not expected to be made again until 2026. Following Emergence, the Current NEOs were granted the following equity awards under the 2023 Equity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2023 Emergence Grants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Target Annual LTI Payout</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Number of PSUs</w:t>
            </w:r>
          </w:p>
        </w:tc>
        <w:tc>
          <w:tcPr>
            <w:tcW w:w="200" w:type="dxa"/>
            <w:vAlign w:val="bottom"/>
          </w:tcPr>
          <w:p>
            <w:pPr>
              <w:spacing w:after="0"/>
              <w:rPr>
                <w:sz w:val="11"/>
                <w:szCs w:val="11"/>
                <w:color w:val="auto"/>
              </w:rPr>
            </w:pPr>
          </w:p>
        </w:tc>
        <w:tc>
          <w:tcPr>
            <w:tcW w:w="136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Target Value (in</w:t>
            </w:r>
          </w:p>
        </w:tc>
        <w:tc>
          <w:tcPr>
            <w:tcW w:w="0" w:type="dxa"/>
            <w:vAlign w:val="bottom"/>
          </w:tcPr>
          <w:p>
            <w:pPr>
              <w:spacing w:after="0"/>
              <w:rPr>
                <w:sz w:val="1"/>
                <w:szCs w:val="1"/>
                <w:color w:val="auto"/>
              </w:rPr>
            </w:pPr>
          </w:p>
        </w:tc>
      </w:tr>
      <w:tr>
        <w:trPr>
          <w:trHeight w:val="195"/>
        </w:trPr>
        <w:tc>
          <w:tcPr>
            <w:tcW w:w="464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228"/>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 w:hanging="332"/>
        <w:spacing w:after="0" w:line="283" w:lineRule="auto"/>
        <w:tabs>
          <w:tab w:leader="none" w:pos="33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grants are intended to reflect each Current NEO’s long-term incentive target for the three years following Emergence, and annual grants are expected to resume beginning in 2026.</w:t>
      </w:r>
    </w:p>
    <w:p>
      <w:pPr>
        <w:spacing w:after="0" w:line="1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RSUs function as a retention incentive and vest in equal annual installments over three years from the “vesting commencement date” (which is generally approximately the grant date) and generally require continued service. The PSUs vest upon achievement of specified per-share values of the Company’s common stock, plus any dividends paid during the term of the award (the “Adjusted Equity Value”), as of the third anniversary of the vesting commencement date (or, if sooner, the occurrence of a “Change in Control” (as defined in the 2023 Equity Plan)), subject to continued service through such date (except as set forth below). The number of PSUs that vest (“Earned PSUs”) can range from 0% to 200% of the target number of PSUs subject to the award, plus, in the case of certain executive officers (including the Current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recipients may not sell or transfer any of the shares of common stock received upon vesting of RSUs and PSUs until the earlier of a Change in Control or the third anniversary of Emergence.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 Equity Value</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Earned PSUs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6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84"/>
        </w:trPr>
        <w:tc>
          <w:tcPr>
            <w:tcW w:w="6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Above Maximum</w:t>
            </w:r>
          </w:p>
        </w:tc>
        <w:tc>
          <w:tcPr>
            <w:tcW w:w="280" w:type="dxa"/>
            <w:vAlign w:val="bottom"/>
          </w:tcPr>
          <w:p>
            <w:pPr>
              <w:spacing w:after="0"/>
              <w:rPr>
                <w:sz w:val="16"/>
                <w:szCs w:val="16"/>
                <w:color w:val="auto"/>
              </w:rPr>
            </w:pPr>
          </w:p>
        </w:tc>
        <w:tc>
          <w:tcPr>
            <w:tcW w:w="4500" w:type="dxa"/>
            <w:vAlign w:val="bottom"/>
            <w:gridSpan w:val="3"/>
          </w:tcPr>
          <w:p>
            <w:pPr>
              <w:ind w:left="680"/>
              <w:spacing w:after="0" w:line="184" w:lineRule="exact"/>
              <w:rPr>
                <w:sz w:val="20"/>
                <w:szCs w:val="20"/>
                <w:color w:val="auto"/>
              </w:rPr>
            </w:pPr>
            <w:r>
              <w:rPr>
                <w:rFonts w:ascii="Times New Roman" w:cs="Times New Roman" w:eastAsia="Times New Roman" w:hAnsi="Times New Roman"/>
                <w:sz w:val="18"/>
                <w:szCs w:val="18"/>
                <w:color w:val="auto"/>
              </w:rPr>
              <w:t>&gt;$73.69   1% of market capitalization implied by</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Adjusted Equity Value in excess of</w:t>
            </w:r>
          </w:p>
        </w:tc>
        <w:tc>
          <w:tcPr>
            <w:tcW w:w="0" w:type="dxa"/>
            <w:vAlign w:val="bottom"/>
          </w:tcPr>
          <w:p>
            <w:pPr>
              <w:spacing w:after="0"/>
              <w:rPr>
                <w:sz w:val="1"/>
                <w:szCs w:val="1"/>
                <w:color w:val="auto"/>
              </w:rPr>
            </w:pPr>
          </w:p>
        </w:tc>
      </w:tr>
    </w:tbl>
    <w:p>
      <w:pPr>
        <w:jc w:val="center"/>
        <w:ind w:left="8100"/>
        <w:spacing w:after="0" w:line="203" w:lineRule="auto"/>
        <w:rPr>
          <w:sz w:val="20"/>
          <w:szCs w:val="20"/>
          <w:color w:val="auto"/>
        </w:rPr>
      </w:pPr>
      <w:r>
        <w:rPr>
          <w:rFonts w:ascii="Times New Roman" w:cs="Times New Roman" w:eastAsia="Times New Roman" w:hAnsi="Times New Roman"/>
          <w:sz w:val="18"/>
          <w:szCs w:val="18"/>
          <w:color w:val="auto"/>
        </w:rPr>
        <w:t>Maximum are allocated as incremental</w:t>
      </w:r>
    </w:p>
    <w:p>
      <w:pPr>
        <w:jc w:val="center"/>
        <w:ind w:left="8100"/>
        <w:spacing w:after="0"/>
        <w:rPr>
          <w:sz w:val="20"/>
          <w:szCs w:val="20"/>
          <w:color w:val="auto"/>
        </w:rPr>
      </w:pPr>
      <w:r>
        <w:rPr>
          <w:rFonts w:ascii="Times New Roman" w:cs="Times New Roman" w:eastAsia="Times New Roman" w:hAnsi="Times New Roman"/>
          <w:sz w:val="18"/>
          <w:szCs w:val="18"/>
          <w:color w:val="auto"/>
        </w:rPr>
        <w:t>Earned PSUs (see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83"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11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treatment of the outstanding RSUs and PSUs upon certain terminations of employment or the occurrence of a “Change in Control,” see the section below entitled “—Potential Payments Upon Termination or Change in Control.”</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Cash Incentives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Commercial and Risk Team Long-Term Incentive Plan</w:t>
      </w:r>
    </w:p>
    <w:p>
      <w:pPr>
        <w:spacing w:after="0" w:line="17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TES maintained the Commercial and Risk Team Long-Term Incentive Plan (the “CRIP”), pursuant to which certain employees of TES and its subsidiaries, including Mr. Chesser, were eligible to receive the cash retention bonus payments described below. None of the Current NEOs participate in the CRIP.</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March 2022, Mr. Chesser was granted an award under the CRIP, pursuant to which he was eligible to earn an aggregate cash retention bonus of $500,000, payable in three equal installments of $166,666.67 during the first 90 days of each of the 2022, 2023 and 2024 calendar years, subject to his continued employment through the date of payment. Mr. Chesser received his second installment payment under his CRIP award equal to $166,666.67 in June 2023 (which is reflected in the Summary Compensation Table). Mr. Chesser’s entitlement to the third installment payment under his CRIP award was forfeited in connection with his termination of employment in accordance with the terms and conditions of his severance arrangement. For additional information, see the section entitled “—Potential Payments upon Termination or Change of Control.”</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Pre-Emergence: Retention Bonus Awards</w:t>
      </w:r>
    </w:p>
    <w:p>
      <w:pPr>
        <w:spacing w:after="0" w:line="17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November 2021, the Prior Board granted retention bonus awards (the “Pre-Restructuring TRAs”) to certain key employees, including some of our NEOs, pursuant to which each participating NEO was eligible to receive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retention bonus in an amount equal to 100% of base salary, paid in two equal installments in November 2021 and November 2022 or such earlier date as determined by the Company’s then Chief Executive Officer after consultation with the Prior Board (the “Second TRA Installment”), subject to continued employment through the payment date and subject to vesting in the right to retain each installment. The participating NEOs were to become vested in the Second TRA Installment on the first anniversary of November 12, 2022. In the event of a “change in control,” vesting of the Second TRA Installment would accelerate to the 30th day following the consummation of such transaction. In April 2022, the Prior Board approved amendments to the Pre-Restructuring TRAs (the “Amended TRAs”), including those held by our participating NEOs, with respect to the timing of payment and vesting schedule of the Second TRA Installment. Under the Amended TRAs, the Second TRA Installment was paid to our participating executives in April 2022, and would vest upon the earliest of (i) December 31, 2023, (ii) 60 days following the effective date of a Chapter 11 plan of reorganization of the Company, and (iii) 30 days after the consummation of a “change in control,” subject to the executive continuing to diligently perform his duties through such date (except in limited circumstances). Accordingly, the Second TRA Installment under each participating NEO’s Amended TRA vested on June 17, 2023 (60 days following Emergence), except for Mr. Hernandez’s, which was deemed vested as of his termination of employment and is reported in the Summary Compensation Table as compensation earned in 2023.</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value of each NEO’s Amended TRA opportunity earned by our NEOs in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0" w:type="dxa"/>
            <w:vAlign w:val="bottom"/>
          </w:tcPr>
          <w:p>
            <w:pPr>
              <w:spacing w:after="0"/>
              <w:rPr>
                <w:sz w:val="1"/>
                <w:szCs w:val="1"/>
                <w:color w:val="auto"/>
              </w:rPr>
            </w:pPr>
          </w:p>
        </w:tc>
      </w:tr>
      <w:tr>
        <w:trPr>
          <w:trHeight w:val="23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Benefits and Perquisites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health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vacation, personal holidays and sick days;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life insurance and supplemental life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short-term and long-term disability;</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$2,500 per year lifestyle account for wellness-related expenses (2023 only); and</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401(k) plan with matching contributions.</w:t>
      </w:r>
    </w:p>
    <w:p>
      <w:pPr>
        <w:spacing w:after="0" w:line="17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0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Mr. Hernandez received special security arrangements, which included a personal protective detail, including secure transportation, for himself and his immediate family, as well as protective personnel and equipment for their residence.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Emergence, we have entered into employment agreements with each of the Current NEOs, each of which has a three-year term and provides for each of the compensation elements of the Current Compensation Program described above, including base salary, annual bonus, and long-term equity incentive awards. The employment agreements also provide for each Current NEO’s eligibility to participate in the Company’s employee benefit plans, policies and arrangements that are generally available to executive officers.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McFarland’s employment agreement entitles him to a cash signing bonus of $2,000,000, payable in two equal installments on each of May 17, 2024 and May 17, 2025 (the first two anniversaries of the execution date of his employment agreement). Mr. Wander’s employment agreement also entitles him to a cash signing bonus of $500,000, payable in two equal installments on each of June 19, 2023 and June 19, 2024 (the execution date of his employment agreement and the first anniversary thereof), subject to his continued employment through the date of payment and to a clawback provision if he is terminated for Cause or resigns without Good Reason (both as defined in his employment agreement) prior to June 19, 2024. The employment agreements also contain non-competition and non-solicitation restrictions applicable during the term of employment and for 12 months thereafter, as well as perpetual non-disparagement and confidentiality provisions. The employment agreements also provide for certain payments and benefits upon a termination by the Company without Cause or by the NEO for Good Reason or due to death or Disability, as described below in the section entitled “—Potential Payments Upon Termination or Change in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believe it is important for our executive officers to share in the ownership of Talen to ensure the alignment of their goals with the interests of our stockholders. We have established guidelines of equity ownership for our Chief Executive Officer equivalent to five times his base salary,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We anticipate that the three-year holding restrictions on the vested RSUs and PSUs will enable our executive officers and non-employee directors who received such equity awards in 2023 to meet this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Current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spacing w:after="0" w:line="1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Current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21"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considers all elements of the cost to us of providing such compensation, including the potential impact of Section 280G of the Code. However, the Current Board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w:t>
      </w:r>
    </w:p>
    <w:p>
      <w:pPr>
        <w:spacing w:after="0" w:line="3" w:lineRule="exact"/>
        <w:rPr>
          <w:sz w:val="20"/>
          <w:szCs w:val="20"/>
          <w:color w:val="auto"/>
        </w:rPr>
      </w:pPr>
    </w:p>
    <w:p>
      <w:pPr>
        <w:jc w:val="both"/>
        <w:ind w:right="220" w:firstLine="8"/>
        <w:spacing w:after="0" w:line="255"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to, awarded to or earned by our NEOs for the years ended December 31, 2022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(3)</w:t>
            </w: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2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(4)</w:t>
            </w:r>
          </w:p>
        </w:tc>
        <w:tc>
          <w:tcPr>
            <w:tcW w:w="14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(5)</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683,654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27,667,227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29,574,742</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253,846</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10,843,798</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10,228,547</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Senior Vice President and Chief</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Nuclear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1,197,227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1,990,474</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7,448,229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9,759,399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Administrative Officer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(Former General Counsel and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501,136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1,034,590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1,767,264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8,989,052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Counsel and Corporate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499,847</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2,122,155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7,528,830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10,150,832</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5,428,248</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9,103,406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2,892,602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2,289,677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amounts actually earned by each NEO, as described under “—Compensation Discussion and Analysis—Elements of Compensation—Base Salary.”</w:t>
      </w:r>
    </w:p>
    <w:p>
      <w:pPr>
        <w:jc w:val="both"/>
        <w:ind w:left="340" w:right="300" w:hanging="332"/>
        <w:spacing w:after="0" w:line="272"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(i) the Emergence Bonuses paid to Messrs. Berryman, Wright and Chesser, (ii) payment under the CRIP made in 2023 to Mr. Chesser, (iii) payments under the Amended TRA earned in 2023 by Messrs. Berryman, Wright, Hernandez and Chesser, and (iv) the first installment of Mr. Wander’s signing bonus. For additional information about these bonus programs, see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21" w:right="339" w:bottom="1440" w:gutter="0" w:footer="0" w:header="0"/>
        </w:sectPr>
      </w:pPr>
    </w:p>
    <w:bookmarkStart w:id="127" w:name="page128"/>
    <w:bookmarkEnd w:id="127"/>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40"/>
        <w:spacing w:after="0" w:line="271" w:lineRule="auto"/>
        <w:rPr>
          <w:sz w:val="20"/>
          <w:szCs w:val="20"/>
          <w:color w:val="auto"/>
        </w:rPr>
      </w:pPr>
      <w:r>
        <w:rPr>
          <w:rFonts w:ascii="Times New Roman" w:cs="Times New Roman" w:eastAsia="Times New Roman" w:hAnsi="Times New Roman"/>
          <w:sz w:val="14"/>
          <w:szCs w:val="14"/>
          <w:color w:val="auto"/>
        </w:rPr>
        <w:t>Compensation Discussion and Analysis—Elements of Compensation—Short-Term Incentives” and “—Compensation Discussion and Analysis—Elements of Compensation—Long-Term Cash Incentives.”</w:t>
      </w:r>
    </w:p>
    <w:p>
      <w:pPr>
        <w:ind w:left="332" w:hanging="332"/>
        <w:spacing w:after="0" w:line="255" w:lineRule="auto"/>
        <w:tabs>
          <w:tab w:leader="none" w:pos="32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values of all PSUs shown in the table are $17,291,170 for Mr. McFarland, $6,559,516 for Mr. Nutt, $4,830,572 for Mr. Berryman, $4,654,928 for Mr. Wright, and $4,830,572 for Mr. Wander. The payout value of the PSUs calculated at maximum performance achievement earned at the end of the three-year performance period would equal $49,329,707 for Mr. McFarland, $13,781,062 for Messrs. Nutt, Berryman and Wander, and $13,279,970 for Mr. Wright. Because the grant date fair value is based on the date the awards were granted, amounts in this column may vary among NEOs who received similar-sized awards but on different dates.</w:t>
      </w:r>
    </w:p>
    <w:p>
      <w:pPr>
        <w:spacing w:after="0" w:line="2" w:lineRule="exact"/>
        <w:rPr>
          <w:rFonts w:ascii="Times New Roman" w:cs="Times New Roman" w:eastAsia="Times New Roman" w:hAnsi="Times New Roman"/>
          <w:sz w:val="14"/>
          <w:szCs w:val="14"/>
          <w:color w:val="auto"/>
        </w:rPr>
      </w:pPr>
    </w:p>
    <w:p>
      <w:pPr>
        <w:ind w:left="332" w:hanging="332"/>
        <w:spacing w:after="0" w:line="263" w:lineRule="auto"/>
        <w:tabs>
          <w:tab w:leader="none" w:pos="32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detailed for each NEO below, reflect the cash amounts (i) earned by our NEOs in 2023 as Advanced STI Bonuses under the Pre-Emergence STI Program with respect to the first quarter of 2023 (which were prepaid in 2022), (ii) earned by and paid to our NEOs in 2023 under the Pre-Emergence STI Program with respect to the second quarter of 2023, (iii) earned by our NEOs in 2023 under the Current STI Program with respect to the third and fourth quarters of 2023 (which were paid in 2024), (iv) earned by and paid to our NEOs in 2023 as Asset Sale Bonuses under the KEIP, and (v) earned by and paid to our NEOs in 2023 as Quarterly Performance Bonuses under the KEIP with respect to the first quarter of 2023.</w:t>
      </w:r>
    </w:p>
    <w:p>
      <w:pPr>
        <w:spacing w:after="0" w:line="158"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McFarland, a $1,210,079 payment under the STI Program for 2023.</w:t>
      </w:r>
    </w:p>
    <w:p>
      <w:pPr>
        <w:spacing w:after="0" w:line="11"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Nutt, a $720,304 payment under the STI Program for 2023.</w:t>
      </w:r>
    </w:p>
    <w:p>
      <w:pPr>
        <w:spacing w:after="0" w:line="14" w:lineRule="exact"/>
        <w:rPr>
          <w:rFonts w:ascii="Times New Roman" w:cs="Times New Roman" w:eastAsia="Times New Roman" w:hAnsi="Times New Roman"/>
          <w:sz w:val="14"/>
          <w:szCs w:val="14"/>
          <w:color w:val="auto"/>
        </w:rPr>
      </w:pPr>
    </w:p>
    <w:p>
      <w:pPr>
        <w:ind w:left="652" w:right="440" w:hanging="328"/>
        <w:spacing w:after="0" w:line="261" w:lineRule="auto"/>
        <w:tabs>
          <w:tab w:leader="none" w:pos="649"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Berryman, (i) a $879,180 payment under the STI Program for 2023, which includes a $129,761 pre-payment as an Advanced STI Bonus for the Q1 STI and a $137,500 payment for the Q2 STI, (ii) $116,776 in payouts for the Asset Sale Bonuses, and (iii) a $256,037 payment for the Q1 KEIP.</w:t>
      </w:r>
    </w:p>
    <w:p>
      <w:pPr>
        <w:ind w:left="652" w:right="80" w:hanging="328"/>
        <w:spacing w:after="0" w:line="233" w:lineRule="auto"/>
        <w:tabs>
          <w:tab w:leader="none" w:pos="644"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Wright, (i) $847,210 under the STI Program for 2023, which includes a $128,750 pre-payment as an Advanced STI Bonus for the Q1 STI and a $132,500 payment for the Q2 STI, (ii) $93,421 in payouts for the Asset Sale Bonuses, and (iii) a $204,830 payment for the Q1 KEIP.</w:t>
      </w:r>
    </w:p>
    <w:p>
      <w:pPr>
        <w:spacing w:after="0" w:line="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Wander, a $720,304 payment under the STI Program for 2023.</w:t>
      </w:r>
    </w:p>
    <w:p>
      <w:pPr>
        <w:spacing w:after="0" w:line="1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Hernandez, (i) a $631,000 payment for the Q1 STI, (ii) $467,107 in payouts for the Asset Sale Bonuses, and (iii) a $1,024,048 payment for the Q1 KEIP.</w:t>
      </w:r>
    </w:p>
    <w:p>
      <w:pPr>
        <w:spacing w:after="0" w:line="14"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Chesser, (i) a $128,750 payment for the Q1 STI, (ii) $140,132 in payouts for the Asset Sale Bonuses, and (iii) a $307,244 payment for the Q1 KEIP.</w:t>
      </w:r>
    </w:p>
    <w:p>
      <w:pPr>
        <w:spacing w:after="0" w:line="1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For additional information about these short-term incentive programs, see “—Compensation Discussion and Analysis—Elements of Compensation—Short-Term Incentives.”</w:t>
      </w:r>
    </w:p>
    <w:p>
      <w:pPr>
        <w:spacing w:after="0" w:line="15" w:lineRule="exact"/>
        <w:rPr>
          <w:sz w:val="20"/>
          <w:szCs w:val="20"/>
          <w:color w:val="auto"/>
        </w:rPr>
      </w:pPr>
    </w:p>
    <w:p>
      <w:pPr>
        <w:ind w:left="332" w:right="40" w:hanging="332"/>
        <w:spacing w:after="0" w:line="262"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(e) expenses under the NEO’s lifestyle account, (f) payments for financial counseling services, (g) a payment for the cost of health and welfare benefits for the NEO’s dependent(s), and (h) other perquisites and payments (described further below).</w:t>
      </w:r>
    </w:p>
    <w:tbl>
      <w:tblPr>
        <w:tblLayout w:type="fixed"/>
        <w:tblInd w:w="332" w:type="dxa"/>
        <w:tblCellMar>
          <w:top w:w="0" w:type="dxa"/>
          <w:left w:w="0" w:type="dxa"/>
          <w:bottom w:w="0" w:type="dxa"/>
          <w:right w:w="0" w:type="dxa"/>
        </w:tblCellMar>
      </w:tblPr>
      <w:tr>
        <w:trPr>
          <w:trHeight w:val="144"/>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b w:val="1"/>
                <w:bCs w:val="1"/>
                <w:color w:val="auto"/>
              </w:rPr>
              <w:t>Term Life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401(k) Plan Matching</w:t>
            </w:r>
          </w:p>
        </w:tc>
        <w:tc>
          <w:tcPr>
            <w:tcW w:w="13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w w:val="96"/>
              </w:rPr>
              <w:t>401(k) Plan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Health Saving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Lifestyle Account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Financial Counsel</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Dependent Health</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Other Perquisites</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134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Discretionary</w:t>
            </w: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Policy ($)</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Account ($)</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Services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and Welfare ($)</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and Payments ($)</w:t>
            </w:r>
          </w:p>
        </w:tc>
        <w:tc>
          <w:tcPr>
            <w:tcW w:w="0" w:type="dxa"/>
            <w:vAlign w:val="bottom"/>
          </w:tcPr>
          <w:p>
            <w:pPr>
              <w:spacing w:after="0"/>
              <w:rPr>
                <w:sz w:val="1"/>
                <w:szCs w:val="1"/>
                <w:color w:val="auto"/>
              </w:rPr>
            </w:pPr>
          </w:p>
        </w:tc>
      </w:tr>
      <w:tr>
        <w:trPr>
          <w:trHeight w:val="203"/>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Terry Nutt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8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Alejandro</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7"/>
              </w:rPr>
              <w:t>7,490,871</w:t>
            </w:r>
            <w:r>
              <w:rPr>
                <w:rFonts w:ascii="Times New Roman" w:cs="Times New Roman" w:eastAsia="Times New Roman" w:hAnsi="Times New Roman"/>
                <w:sz w:val="18"/>
                <w:szCs w:val="18"/>
                <w:color w:val="auto"/>
                <w:w w:val="97"/>
                <w:vertAlign w:val="superscript"/>
              </w:rPr>
              <w:t>(x)</w:t>
            </w:r>
          </w:p>
        </w:tc>
        <w:tc>
          <w:tcPr>
            <w:tcW w:w="0" w:type="dxa"/>
            <w:vAlign w:val="bottom"/>
          </w:tcPr>
          <w:p>
            <w:pPr>
              <w:spacing w:after="0"/>
              <w:rPr>
                <w:sz w:val="1"/>
                <w:szCs w:val="1"/>
                <w:color w:val="auto"/>
              </w:rPr>
            </w:pPr>
          </w:p>
        </w:tc>
      </w:tr>
      <w:tr>
        <w:trPr>
          <w:trHeight w:val="20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Hernandez</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Chesser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w w:val="97"/>
              </w:rPr>
              <w:t>1,191,433</w:t>
            </w:r>
            <w:r>
              <w:rPr>
                <w:rFonts w:ascii="Times New Roman" w:cs="Times New Roman" w:eastAsia="Times New Roman" w:hAnsi="Times New Roman"/>
                <w:sz w:val="18"/>
                <w:szCs w:val="18"/>
                <w:color w:val="auto"/>
                <w:w w:val="97"/>
                <w:vertAlign w:val="superscript"/>
              </w:rPr>
              <w:t>(y)</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652" w:right="60" w:hanging="328"/>
        <w:spacing w:after="0" w:line="257" w:lineRule="auto"/>
        <w:tabs>
          <w:tab w:leader="none" w:pos="644"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received severance payments with an aggregate value of $6,035,776, comprised of (i) a $3,785,250 lump sum cash payment equal to the sum of his base salary and target annual bonus for 2023, (ii) $24,289 for reimbursement of his monthly premiums under COBRA (as defined below) for 12 months, (iii) a $76,449 lump sum cash payment equal to pro-rated Quarterly Performance Bonus under the KEIP for the second quarter of 2023, and (iv) accelerated vesting of his $2,149,788 Second TRA Installment payment. Amount also includes $1,455,095 to reflect the aggregate incremental cost of the personal security arrangements implemented following the security review described under “—Other Executive Benefits and Perquisites.”</w:t>
      </w:r>
    </w:p>
    <w:p>
      <w:pPr>
        <w:spacing w:after="0" w:line="2" w:lineRule="exact"/>
        <w:rPr>
          <w:rFonts w:ascii="Times New Roman" w:cs="Times New Roman" w:eastAsia="Times New Roman" w:hAnsi="Times New Roman"/>
          <w:sz w:val="14"/>
          <w:szCs w:val="14"/>
          <w:color w:val="auto"/>
        </w:rPr>
      </w:pPr>
    </w:p>
    <w:p>
      <w:pPr>
        <w:ind w:left="652" w:right="60" w:hanging="328"/>
        <w:spacing w:after="0" w:line="260" w:lineRule="auto"/>
        <w:tabs>
          <w:tab w:leader="none" w:pos="644"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received severance payments with an aggregate value of $1,191,433, comprised of (x) a $1,173,325 lump sum cash payment equal to the sum of his base salary and target annual bonus for 2023, $15,000 for a financial advisory service, and $100,000 for post-Emergence services to the Company and (y) $18,108 for reimbursement of his monthly premiums under COBRA for 12 months.</w:t>
      </w:r>
    </w:p>
    <w:p>
      <w:pPr>
        <w:ind w:left="312" w:hanging="312"/>
        <w:spacing w:after="0"/>
        <w:tabs>
          <w:tab w:leader="none" w:pos="31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 commenced employment as President and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Nutt commenced employment as Chief Financial Officer of the Company, effective as of July 10, 2023.</w:t>
      </w:r>
    </w:p>
    <w:p>
      <w:pPr>
        <w:spacing w:after="0" w:line="4" w:lineRule="exact"/>
        <w:rPr>
          <w:rFonts w:ascii="Times New Roman" w:cs="Times New Roman" w:eastAsia="Times New Roman" w:hAnsi="Times New Roman"/>
          <w:sz w:val="14"/>
          <w:szCs w:val="14"/>
          <w:color w:val="auto"/>
        </w:rPr>
      </w:pPr>
    </w:p>
    <w:p>
      <w:pPr>
        <w:ind w:left="332" w:right="420" w:hanging="332"/>
        <w:spacing w:after="0" w:line="278" w:lineRule="auto"/>
        <w:tabs>
          <w:tab w:leader="none" w:pos="3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Wright was promoted to Chief Administrative Officer of the Company, effective as of June 28, 2023. He had previously served as the Company’s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12"/>
          </w:cols>
          <w:pgMar w:left="328" w:top="121" w:right="359" w:bottom="1440" w:gutter="0" w:footer="0" w:header="0"/>
        </w:sectPr>
      </w:pPr>
    </w:p>
    <w:bookmarkStart w:id="128" w:name="page129"/>
    <w:bookmarkEnd w:id="128"/>
    <w:p>
      <w:pPr>
        <w:jc w:val="center"/>
        <w:ind w:right="-1112"/>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Wander commenced employment as General Counsel and Corporate Secretary on June 19, 2023.</w:t>
      </w:r>
    </w:p>
    <w:p>
      <w:pPr>
        <w:spacing w:after="0" w:line="27"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ceased employment as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ceased employment as Chief Financial Officer of the Company, effective as of July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131"/>
          </w:cols>
          <w:pgMar w:left="328" w:top="121"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2023</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non-equity incentive plan awards, RSUs and PSUs awarded during fiscal 2023 to each of the NEOs, except Messrs. Hernandez and Chesser, who were not granted any such awards during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3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234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88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Fair Value of</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8"/>
                <w:szCs w:val="8"/>
                <w:color w:val="auto"/>
              </w:rPr>
            </w:pPr>
          </w:p>
        </w:tc>
        <w:tc>
          <w:tcPr>
            <w:tcW w:w="760" w:type="dxa"/>
            <w:vAlign w:val="bottom"/>
          </w:tcPr>
          <w:p>
            <w:pPr>
              <w:jc w:val="center"/>
              <w:ind w:right="51"/>
              <w:spacing w:after="0" w:line="102"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3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8"/>
              </w:rPr>
              <w:t>Approval</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86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780" w:type="dxa"/>
            <w:vAlign w:val="bottom"/>
          </w:tcPr>
          <w:p>
            <w:pPr>
              <w:jc w:val="right"/>
              <w:ind w:right="51"/>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tcPr>
          <w:p>
            <w:pPr>
              <w:jc w:val="center"/>
              <w:ind w:right="31"/>
              <w:spacing w:after="0" w:line="130"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81"/>
        </w:trPr>
        <w:tc>
          <w:tcPr>
            <w:tcW w:w="1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3"/>
                <w:szCs w:val="13"/>
                <w:b w:val="1"/>
                <w:bCs w:val="1"/>
                <w:color w:val="auto"/>
                <w:w w:val="93"/>
              </w:rPr>
              <w:t>Date</w:t>
            </w:r>
            <w:r>
              <w:rPr>
                <w:rFonts w:ascii="Times New Roman" w:cs="Times New Roman" w:eastAsia="Times New Roman" w:hAnsi="Times New Roman"/>
                <w:sz w:val="16"/>
                <w:szCs w:val="16"/>
                <w:b w:val="1"/>
                <w:bCs w:val="1"/>
                <w:color w:val="auto"/>
                <w:w w:val="93"/>
                <w:vertAlign w:val="superscript"/>
              </w:rPr>
              <w:t>(1)</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or Units (#)</w:t>
            </w: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2"/>
              </w:rPr>
              <w:t xml:space="preserve">Awards ($) </w:t>
            </w:r>
            <w:r>
              <w:rPr>
                <w:rFonts w:ascii="Times New Roman" w:cs="Times New Roman" w:eastAsia="Times New Roman" w:hAnsi="Times New Roman"/>
                <w:sz w:val="16"/>
                <w:szCs w:val="16"/>
                <w:b w:val="1"/>
                <w:bCs w:val="1"/>
                <w:color w:val="auto"/>
                <w:w w:val="92"/>
                <w:vertAlign w:val="superscript"/>
              </w:rPr>
              <w:t>(2)</w:t>
            </w:r>
          </w:p>
        </w:tc>
        <w:tc>
          <w:tcPr>
            <w:tcW w:w="0" w:type="dxa"/>
            <w:vAlign w:val="bottom"/>
          </w:tcPr>
          <w:p>
            <w:pPr>
              <w:spacing w:after="0"/>
              <w:rPr>
                <w:sz w:val="1"/>
                <w:szCs w:val="1"/>
                <w:color w:val="auto"/>
              </w:rPr>
            </w:pPr>
          </w:p>
        </w:tc>
      </w:tr>
      <w:tr>
        <w:trPr>
          <w:trHeight w:val="184"/>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948,699</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223,141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10,376,057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334,711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669,422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17,291,170</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Terry Nutt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3,300,797</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6,559,516</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RSU</w:t>
            </w:r>
            <w:r>
              <w:rPr>
                <w:rFonts w:ascii="Times New Roman" w:cs="Times New Roman" w:eastAsia="Times New Roman" w:hAnsi="Times New Roman"/>
                <w:sz w:val="8"/>
                <w:szCs w:val="8"/>
                <w:color w:val="auto"/>
              </w:rPr>
              <w:t xml:space="preserve"> (4)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60,071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2,793,302</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180,214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4,654,928</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500" w:hanging="332"/>
        <w:spacing w:after="0" w:line="259"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awards were approved by the Compensation Committed on June 16, 2023. Awards granted to Terry Nutt were contingent on and effective as of the date of his commencement of employment with the Company.</w:t>
      </w:r>
    </w:p>
    <w:p>
      <w:pPr>
        <w:ind w:left="340" w:right="120" w:hanging="332"/>
        <w:spacing w:after="0" w:line="261"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values of the RSUs and PSUs calculated in accordance with ASC Topic 718 and using the assumptions discussed under “Stock-Based Compensation” in Note 2 to the Annual Financial Statements.</w:t>
      </w:r>
    </w:p>
    <w:p>
      <w:pPr>
        <w:ind w:left="340" w:right="60" w:hanging="332"/>
        <w:spacing w:after="0" w:line="256"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our Current STI Program granted pursuant to each applicable NEO’s employment agreement. Amounts pay out based on a percentage of the applicable target value (which is a percentage of base salary) based on achievement of pre-determined performance criteria. Mr. McFarland’s short-term incentive opportunity is based on a target amount equal to 135% of his base salary, prorated based on his days of service for 2023. For additional information, see section entitled “—Compensation Discussion and Analysis— Elements of Compensation—Short-Term Incentives.”</w:t>
      </w:r>
    </w:p>
    <w:p>
      <w:pPr>
        <w:spacing w:after="0" w:line="1"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RSUs granted under the 2023 Equity Plan, the terms of which are summarized under “—Compensation Discussion and Analysis—Elements of Compensation—Long-Term Equity Incentives.”</w:t>
      </w:r>
    </w:p>
    <w:p>
      <w:pPr>
        <w:ind w:left="340" w:right="160" w:hanging="332"/>
        <w:spacing w:after="0" w:line="259"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PSUs granted under the 2023 Equity Plan, the terms of which are summarized under “—Compensation Discussion and Analysis—Elements of Compensation—Long-Term Equity Incentives.”</w:t>
      </w:r>
    </w:p>
    <w:p>
      <w:pPr>
        <w:ind w:left="340" w:right="620" w:hanging="332"/>
        <w:spacing w:after="0" w:line="283"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the Pre-Emergence STI Program with respect to the second quarter of 2023, which were paid out at target in August 2023. For additional information, see section entitled “—Compensation Discussion and Analysis—Elements of Compensation—Short-Term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NEOs for the year ended December 31, 2023. The market value of the shares in the following table reflects the fair market value of such shares as of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w:t>
            </w:r>
          </w:p>
        </w:tc>
        <w:tc>
          <w:tcPr>
            <w:tcW w:w="2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0" w:type="dxa"/>
            <w:vAlign w:val="bottom"/>
          </w:tcPr>
          <w:p>
            <w:pPr>
              <w:spacing w:after="0"/>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Not Vested (#) </w:t>
            </w:r>
            <w:r>
              <w:rPr>
                <w:rFonts w:ascii="Times New Roman" w:cs="Times New Roman" w:eastAsia="Times New Roman" w:hAnsi="Times New Roman"/>
                <w:sz w:val="9"/>
                <w:szCs w:val="9"/>
                <w:b w:val="1"/>
                <w:bCs w:val="1"/>
                <w:color w:val="auto"/>
                <w:w w:val="98"/>
              </w:rPr>
              <w:t>(1)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xml:space="preserve">Vested ($) </w:t>
            </w:r>
            <w:r>
              <w:rPr>
                <w:rFonts w:ascii="Times New Roman" w:cs="Times New Roman" w:eastAsia="Times New Roman" w:hAnsi="Times New Roman"/>
                <w:sz w:val="9"/>
                <w:szCs w:val="9"/>
                <w:b w:val="1"/>
                <w:bCs w:val="1"/>
                <w:color w:val="auto"/>
                <w:w w:val="99"/>
              </w:rPr>
              <w:t>(2)</w:t>
            </w:r>
          </w:p>
        </w:tc>
        <w:tc>
          <w:tcPr>
            <w:tcW w:w="1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Have Not Vested (#) </w:t>
            </w:r>
            <w:r>
              <w:rPr>
                <w:rFonts w:ascii="Times New Roman" w:cs="Times New Roman" w:eastAsia="Times New Roman" w:hAnsi="Times New Roman"/>
                <w:sz w:val="18"/>
                <w:szCs w:val="18"/>
                <w:b w:val="1"/>
                <w:bCs w:val="1"/>
                <w:color w:val="auto"/>
                <w:w w:val="98"/>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Have Not Vested ($)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14,281,024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669,422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42,843,008</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Nutt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3,844,544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31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Alejandro Hernandez </w:t>
            </w:r>
            <w:r>
              <w:rPr>
                <w:rFonts w:ascii="Times New Roman" w:cs="Times New Roman" w:eastAsia="Times New Roman" w:hAnsi="Times New Roman"/>
                <w:sz w:val="23"/>
                <w:szCs w:val="23"/>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24"/>
                <w:szCs w:val="24"/>
                <w:color w:val="auto"/>
              </w:rPr>
            </w:pPr>
          </w:p>
        </w:tc>
        <w:tc>
          <w:tcPr>
            <w:tcW w:w="2000" w:type="dxa"/>
            <w:vAlign w:val="bottom"/>
            <w:gridSpan w:val="2"/>
          </w:tcPr>
          <w:p>
            <w:pPr>
              <w:ind w:left="1300"/>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 xml:space="preserve"> (5)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 w:lineRule="exact"/>
        <w:rPr>
          <w:sz w:val="20"/>
          <w:szCs w:val="20"/>
          <w:color w:val="auto"/>
        </w:rPr>
      </w:pPr>
    </w:p>
    <w:p>
      <w:pPr>
        <w:ind w:left="340" w:right="100" w:hanging="332"/>
        <w:spacing w:after="0" w:line="260"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on June 16, 2023 (or for Mr. Nutt, July 10, 2023) that are eligible to vest in equal annual installments on the first, second and third anniversary of the vesting commencement date, subject to continued employment (except in certain scenarios as described in the section entitled “—Potential Payment upon Termination or Change in Control”). The vesting commencement date is (i) May 17, 2023 for the RSUs held by Messrs. McFarland, Berryman and Wright; (ii) July 10, 2023 for RSUs held by Mr. Nutt; and (iii) June 19, 2023 for RSUs held by Mr. Wander.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values reported in the table are calculated based on the fair market value of the Company’s common stock as of December 31, 2023, $64.00.</w:t>
      </w:r>
    </w:p>
    <w:p>
      <w:pPr>
        <w:spacing w:after="0" w:line="4" w:lineRule="exact"/>
        <w:rPr>
          <w:rFonts w:ascii="Times New Roman" w:cs="Times New Roman" w:eastAsia="Times New Roman" w:hAnsi="Times New Roman"/>
          <w:sz w:val="14"/>
          <w:szCs w:val="14"/>
          <w:color w:val="auto"/>
        </w:rPr>
      </w:pPr>
    </w:p>
    <w:p>
      <w:pPr>
        <w:ind w:left="340" w:right="20" w:hanging="332"/>
        <w:spacing w:after="0" w:line="173" w:lineRule="exact"/>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granted on June 16, 2023 (or for Mr. Nutt, July 10, 2023) that are eligible to vest upon achievement of specified 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share values of common stock, plus any dividends paid during the term of the award, as of the third anniversary of the vesting commencement date, subject to continued employment (except in certain scenarios as described in the section entitled “—Potential Payment Upon Termination or Change in Control”). The vesting commencement date for all the PSUs is May 17, 2023. As of the end of 2023, the performance for the PSUs was at 154% of target, based on our stock price of $64.00 as of December 31, 2023. Because performance for the PSUs exceeded the target level as of the end of 2023, the number of shares in this column represents the maximum level of performance.</w:t>
      </w:r>
    </w:p>
    <w:p>
      <w:pPr>
        <w:spacing w:after="0" w:line="2" w:lineRule="exact"/>
        <w:rPr>
          <w:rFonts w:ascii="Times New Roman" w:cs="Times New Roman" w:eastAsia="Times New Roman" w:hAnsi="Times New Roman"/>
          <w:sz w:val="14"/>
          <w:szCs w:val="14"/>
          <w:color w:val="auto"/>
        </w:rPr>
      </w:pPr>
    </w:p>
    <w:p>
      <w:pPr>
        <w:ind w:left="340" w:right="140" w:hanging="332"/>
        <w:spacing w:after="0" w:line="260"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pre-Restructuring long-term incentive awards granted to NEOs, Mr. Hernandez previously received restricted interests, subject to certain vesting conditions, in Raven Power Holdings LLC (the “Raven Power Incentive Units”), which owned 56.6% of the voting equity of Talen MidCo LLC and approximately 28.9% of Talen directly as of the Company’s commencement of the Restructuring.</w:t>
      </w: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Raven Power Incentive Units are with respect to a private entity that holds a minority interest in Talen, there is no readily ascertainable market value for these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equity awards fully vested with respect to our NEOs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NEOs did not participate in or have account balances in pension plans sponsored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NEOs did not participate in or have account balances in nonqualified defined contribution plans or other nonqualified deferred compensation plans maintained by us. The Current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potential payments to certain of our NEOs as of December 31, 2023 in connection with certain termination or change in control events. The payments set forth below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21"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Hernandez and Chesser represent the payments actually received upon termination of employment during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Aggregate Value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Accelerated Equity Awards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Payments upon Termination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Cash Severance ($)</w:t>
            </w:r>
          </w:p>
        </w:tc>
        <w:tc>
          <w:tcPr>
            <w:tcW w:w="200" w:type="dxa"/>
            <w:vAlign w:val="bottom"/>
          </w:tcPr>
          <w:p>
            <w:pPr>
              <w:spacing w:after="0"/>
              <w:rPr>
                <w:sz w:val="16"/>
                <w:szCs w:val="16"/>
                <w:color w:val="auto"/>
              </w:rPr>
            </w:pPr>
          </w:p>
        </w:tc>
        <w:tc>
          <w:tcPr>
            <w:tcW w:w="1000" w:type="dxa"/>
            <w:vAlign w:val="bottom"/>
          </w:tcPr>
          <w:p>
            <w:pPr>
              <w:jc w:val="center"/>
              <w:ind w:left="102"/>
              <w:spacing w:after="0" w:line="189" w:lineRule="exact"/>
              <w:rPr>
                <w:sz w:val="20"/>
                <w:szCs w:val="20"/>
                <w:color w:val="auto"/>
              </w:rPr>
            </w:pPr>
            <w:r>
              <w:rPr>
                <w:rFonts w:ascii="Times New Roman" w:cs="Times New Roman" w:eastAsia="Times New Roman" w:hAnsi="Times New Roman"/>
                <w:sz w:val="21"/>
                <w:szCs w:val="21"/>
                <w:b w:val="1"/>
                <w:bCs w:val="1"/>
                <w:color w:val="auto"/>
                <w:w w:val="93"/>
                <w:vertAlign w:val="subscript"/>
              </w:rPr>
              <w:t>($)</w:t>
            </w:r>
            <w:r>
              <w:rPr>
                <w:rFonts w:ascii="Times New Roman" w:cs="Times New Roman" w:eastAsia="Times New Roman" w:hAnsi="Times New Roman"/>
                <w:sz w:val="8"/>
                <w:szCs w:val="8"/>
                <w:b w:val="1"/>
                <w:bCs w:val="1"/>
                <w:color w:val="auto"/>
                <w:w w:val="93"/>
              </w:rPr>
              <w:t xml:space="preserve">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COBRA Payments ($)</w:t>
            </w:r>
          </w:p>
        </w:tc>
        <w:tc>
          <w:tcPr>
            <w:tcW w:w="3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McFarland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6,147,397</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14,281,024</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20,428,421</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Terry Nutt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633,969</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1,763,969</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 Berryman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830,718</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1,930,718</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Wright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800,508</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1,860,508</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Wander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710,482</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1,810,482</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Alejandro Hernandez</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5,935,038</w:t>
            </w: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5,959,327</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Chesser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1,173,325</w:t>
            </w: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1,191,433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are calculated based on the market value of the Company’s common stock as of December 31, 2023.</w:t>
      </w:r>
    </w:p>
    <w:p>
      <w:pPr>
        <w:spacing w:after="0" w:line="11" w:lineRule="exact"/>
        <w:rPr>
          <w:rFonts w:ascii="Times New Roman" w:cs="Times New Roman" w:eastAsia="Times New Roman" w:hAnsi="Times New Roman"/>
          <w:sz w:val="14"/>
          <w:szCs w:val="14"/>
          <w:color w:val="auto"/>
        </w:rPr>
      </w:pPr>
    </w:p>
    <w:p>
      <w:pPr>
        <w:jc w:val="both"/>
        <w:ind w:left="340" w:right="220" w:hanging="332"/>
        <w:spacing w:after="0" w:line="261"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cash payment equal to two-times the sum of Mr. McFarland’s base salary and target annual bonus for 2023 (which is based on a target amount equal to 135% of his base salary, prorated based on his days of service for 2023), payable over 24 months following the separation date and (ii) full accelerated vesting of Mr. McFarland’s $2,000,000 signing bonus, payable within 60 days following termination of employment.</w:t>
      </w:r>
    </w:p>
    <w:p>
      <w:pPr>
        <w:spacing w:after="0" w:line="1" w:lineRule="exact"/>
        <w:rPr>
          <w:rFonts w:ascii="Times New Roman" w:cs="Times New Roman" w:eastAsia="Times New Roman" w:hAnsi="Times New Roman"/>
          <w:sz w:val="14"/>
          <w:szCs w:val="14"/>
          <w:color w:val="auto"/>
        </w:rPr>
      </w:pPr>
    </w:p>
    <w:p>
      <w:pPr>
        <w:ind w:left="340" w:right="140" w:hanging="332"/>
        <w:spacing w:after="0" w:line="256"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employment due to death or “Disability,” each NEO would be entitled to earn the unpaid portion of the annual bonus for 2023 (i.e., in respect of the third and fourth quarters of 2023) based on actual performance results for the third and fourth quarters of 2023, pro-rated based on days employed during such period. Because we cannot yet determine, as of the date of this filing, the actual amounts earned under the Current STI Program with respect to the third and fourth quarters of 2023, the amounts reported here are estimates based on pro-rated target annual bonus amount for 2023 for each NEO.</w:t>
      </w:r>
    </w:p>
    <w:p>
      <w:pPr>
        <w:spacing w:after="0" w:line="1" w:lineRule="exact"/>
        <w:rPr>
          <w:rFonts w:ascii="Times New Roman" w:cs="Times New Roman" w:eastAsia="Times New Roman" w:hAnsi="Times New Roman"/>
          <w:sz w:val="14"/>
          <w:szCs w:val="14"/>
          <w:color w:val="auto"/>
        </w:rPr>
      </w:pPr>
    </w:p>
    <w:p>
      <w:pPr>
        <w:ind w:left="340" w:right="300" w:hanging="332"/>
        <w:spacing w:after="0" w:line="254"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amounts represent a cash payment equal to one-times the sum of their base salary and target annual bonus for the performance year in which the termination date occurs, payable over 12 months following the separation date.</w:t>
      </w:r>
    </w:p>
    <w:p>
      <w:pPr>
        <w:ind w:left="340" w:right="20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(x) a lump sum payment made to Mr. Hernandez upon his separation from the Company equal to the sum of his base salary and target annual bonus at the time of such separation pursuant to Mr. Hernandez’s separation agreement (described below), (y) a lump sum cash payment equal to pro-rated Quarterly Performance Bonus under the KEIP for the second quarter of 2023, and (z) accelerated vesting of his $2,149,788 Second TRA Installment payment.</w:t>
      </w:r>
    </w:p>
    <w:p>
      <w:pPr>
        <w:ind w:left="340" w:right="320" w:hanging="332"/>
        <w:spacing w:after="0" w:line="254"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a lump sum payment made to Mr. Chesser upon his separation from the Company equal to the sum of his base salary and target annual bonus at the time of such separation, plus $15,000 for a financial advisory service, and $100,000 for post-Emergence services to the Company pursuant to Mr. Chesser’s separation agreement (described below).</w:t>
      </w: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value of accelerated vesting of Mr. McFarland’s 223,141 unvested RSUs.</w:t>
      </w:r>
    </w:p>
    <w:p>
      <w:pPr>
        <w:spacing w:after="0" w:line="11" w:lineRule="exact"/>
        <w:rPr>
          <w:rFonts w:ascii="Times New Roman" w:cs="Times New Roman" w:eastAsia="Times New Roman" w:hAnsi="Times New Roman"/>
          <w:sz w:val="14"/>
          <w:szCs w:val="14"/>
          <w:color w:val="auto"/>
        </w:rPr>
      </w:pPr>
    </w:p>
    <w:p>
      <w:pPr>
        <w:ind w:left="340" w:hanging="332"/>
        <w:spacing w:after="0" w:line="266"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(i) accelerated vesting of all outstanding RSUs and (ii) accelerated vesting of the number of PSUs that would vest based on achievement of performance criteria as of such Change in Control (which, assuming a Change in Control that occurred on December 31, 2023, and using our stock price of $64.00 as of such date, would result in vesting at 154% of target). The table above does not reflect any excise tax on amounts that could be considered “excess parachute payments” as a result of Sections 280G or 4999 of the Code.</w:t>
      </w:r>
    </w:p>
    <w:p>
      <w:pPr>
        <w:spacing w:after="0" w:line="156" w:lineRule="exact"/>
        <w:rPr>
          <w:rFonts w:ascii="Times New Roman" w:cs="Times New Roman" w:eastAsia="Times New Roman" w:hAnsi="Times New Roman"/>
          <w:sz w:val="14"/>
          <w:szCs w:val="14"/>
          <w:color w:val="auto"/>
        </w:rPr>
      </w:pPr>
    </w:p>
    <w:p>
      <w:pPr>
        <w:ind w:left="340" w:right="420" w:hanging="332"/>
        <w:spacing w:after="0" w:line="278"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accelerated vesting of a pro rata portion of the next scheduled annual vesting tranche of each NEO’s outstanding RSUs, calculated based on the number of days from the vesting commencement date to the date of the NEO’s termination divided by 365 (and assuming a termination occurred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21"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Amounts represent the cost to the Company of reimbursement of the cost of the NEO’s COBRA coverage premiums for 12 months following the date of separation.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 Under Current Employment Agreements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employment agreements between the Company and each of Messrs. McFarland, Nutt, Berryman, Wright, and Wander (the “Current Employment Agreements”), if the Company terminates the NEO’s employment without “Cause” or the NEO terminates his employment for “Good Reason,” in each case, subject to timely execution of a release of claims and continued compliance with the restrictive covenant obligations set forth in the Current Employment Agreement, then (i) such NEO is entitled to a cash payment equal to one-times (or, for Mr. McFarland, two-times) the sum of his base salary and target annual bonus for the performance year in which such termination occurs, payable over 12 months (or, for Mr. McFarland, payable over 24 months) following the separation date, and (ii) for Mr. McFarland only, any unpaid portion of his signing bonus shall automatically vest and be paid within 60 days following the termination date.</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Current Employment Agreements, upon the applicable NEO’s termination of employment due to his death or Disability, such NEO is entitled to a pro rata portion of the NEO’s annual bonus for the year in which such termination occurs based on actual performance results for the applicable bonus year, prorated for the period of days beginning on January 1 (or, if later, the effective date of the Current Employment Agreement)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“Cause” is defined in each Current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Current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4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“Disability” is defined in each Current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spacing w:after="0" w:line="12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“Good Reason” is defined in each Current Employment Agreement as the occurrence of any of the following, in each case without the NEO’s written consent and which the Company fails to cure within 30 days of receipt of notice: (i) 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Current Employment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Long-Term Equity Incentive Awards</w:t>
      </w:r>
    </w:p>
    <w:p>
      <w:pPr>
        <w:spacing w:after="0" w:line="173"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Death or Disability. Generally, for NEOs other than Mr. McFarland, (i) upon a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by the Company without “Cause” or a resignation by the recipient for “Good Reason” (each as defined in the applicable Current Employment Agreement) or (ii) upon a termination due to death or Disability (as defined in the applicable Current Employment Agreement) that occurs on or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21" w:right="359" w:bottom="1440" w:gutter="0" w:footer="0" w:header="0"/>
        </w:sectPr>
      </w:pPr>
    </w:p>
    <w:bookmarkStart w:id="133" w:name="page134"/>
    <w:bookmarkEnd w:id="133"/>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first anniversary of Emergence, (a) a pro rata portion of the RSUs that otherwise would have vested on the next scheduled vesting date will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spacing w:after="0" w:line="12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RSUs and PSUs granted to Mr. McFarland,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will immediately vest and (b) all of Mr. McFarland’s outstanding PSUs will fully time-vest and will remain outstanding and eligible to vest based on actual performance.</w:t>
      </w:r>
    </w:p>
    <w:p>
      <w:pPr>
        <w:spacing w:after="0" w:line="124" w:lineRule="exact"/>
        <w:rPr>
          <w:sz w:val="20"/>
          <w:szCs w:val="20"/>
          <w:color w:val="auto"/>
        </w:rPr>
      </w:pPr>
    </w:p>
    <w:p>
      <w:pPr>
        <w:jc w:val="both"/>
        <w:ind w:right="2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Upon the occurrence of a “Change in Control” (as defined in the 2023 Equity Plan) all outstanding RSUs and PSUs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will fully vest (with PSUs vesting based on the implied Adjusted Equity Value in connection with such Change in Control), subject to the NEO’s continued employment through such Change in Control.</w:t>
      </w:r>
    </w:p>
    <w:p>
      <w:pPr>
        <w:spacing w:after="0" w:line="11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Raven Power Incentive Units. </w:t>
      </w:r>
      <w:r>
        <w:rPr>
          <w:rFonts w:ascii="Times New Roman" w:cs="Times New Roman" w:eastAsia="Times New Roman" w:hAnsi="Times New Roman"/>
          <w:sz w:val="18"/>
          <w:szCs w:val="18"/>
          <w:color w:val="auto"/>
        </w:rPr>
        <w:t>Mr. Hernandez had previously received and held as of the date of his termination of employment, restricted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vesting conditions, in Raven Power Holdings LLC (the “Raven Power Incentive Units”), which owned approximately 28.9% of Talen directly as of the Company’s commencement of Restructuring. The Raven Power Incentive Units granted to Mr. Hernandez were subject to both time-vesting and performance-vesting conditions and were entitled to certain vesting acceleration treatment upon Mr. Hernandez’s termination of employment without cause. However, these equity interests had a value of $0 as of the date of Mr. Hernandez’s termination of employment, so he did not receive any payment or otherwise benefit from such vesting upon his termination of employment.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TRA</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Lapse of Clawback of TRA Payments. </w:t>
      </w:r>
      <w:r>
        <w:rPr>
          <w:rFonts w:ascii="Times New Roman" w:cs="Times New Roman" w:eastAsia="Times New Roman" w:hAnsi="Times New Roman"/>
          <w:sz w:val="18"/>
          <w:szCs w:val="18"/>
          <w:color w:val="auto"/>
        </w:rPr>
        <w:t>In the event an NEO’s employment with the Company terminates prior to the vesting of the Second TRA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 payment due to the NEO’s death or permanent disability (as determined by the Company) or by the Company without “Cause” or by the NEO for “Good Reason” (each, as defined in the NEO’s Pre-Emergence Employment Agreement), the Second TRA Installment would vest in full, subject to the NEO’s timely execution of a release of claims.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173"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Separation Agreement with Mr. Hernandez. </w:t>
      </w:r>
      <w:r>
        <w:rPr>
          <w:rFonts w:ascii="Times New Roman" w:cs="Times New Roman" w:eastAsia="Times New Roman" w:hAnsi="Times New Roman"/>
          <w:sz w:val="18"/>
          <w:szCs w:val="18"/>
          <w:color w:val="auto"/>
        </w:rPr>
        <w:t>In connection with Mr. Hernandez’s separation on May 17, 2023, Mr. Hernandez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cash payment equal to the sum of his base salary and target annual bonus for 2023, payable in a single lump sum payment, (ii) reimbursements of his monthly premiums under the Consolidated Omnibus Budget Reconciliation Act of 1985, as amended (“COBRA”), for 12 months, in each case subject to 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the general release of claims and continued abidance by the restrictive covenant obligations under his employment agreement, and (iii) a pro-rated portion of the Quarterly Performance Bonus under the KEIP for the second quarter of 2023.</w:t>
      </w:r>
    </w:p>
    <w:p>
      <w:pPr>
        <w:spacing w:after="0" w:line="144"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Chesser. </w:t>
      </w:r>
      <w:r>
        <w:rPr>
          <w:rFonts w:ascii="Times New Roman" w:cs="Times New Roman" w:eastAsia="Times New Roman" w:hAnsi="Times New Roman"/>
          <w:sz w:val="18"/>
          <w:szCs w:val="18"/>
          <w:color w:val="auto"/>
        </w:rPr>
        <w:t>In connection with Mr. Chesser’s separation on July 7, 2023, Mr. Chesser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lump sum cash payment equal to the sum of his base salary and target annual bonus for 2023; (ii) a lump sum cash payment equal to $15,000 for financial advisory services; (iii) a lump sum cash payment equal to $100,000 for post-Emergence services to the Company; and (iv) reimbursements of his monthly premiums under COBRA for 12 months, in each case subject to his non-revocation of the general release of claims and continued abidance by the restrictive covenant obligations under the Non-Competition, Non-Solicitation and Confidentiality Agreement between Mr. Chesser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80"/>
          </w:cols>
          <w:pgMar w:left="320" w:top="121" w:right="3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service on the board of directors of either the Company or TES during the year ended December 31, 2023. As required by applicable SEC rules, the disclosure in this section covers all persons who at any time served as a director during 2023, other than Mr. Hernandez, who previously served as our President and Chief Executive Officer and Mr. McFarland, who currently serves as our Chief Executive Officer, neither of whom received additional compensation for serving as a director. For summary information on the provisions of the applicable plans and programs, refer to the discussion immediately following this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3"/>
                <w:szCs w:val="13"/>
                <w:color w:val="auto"/>
              </w:rPr>
            </w:pPr>
          </w:p>
        </w:tc>
        <w:tc>
          <w:tcPr>
            <w:tcW w:w="12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Pr>
          <w:p>
            <w:pPr>
              <w:spacing w:after="0"/>
              <w:rPr>
                <w:sz w:val="17"/>
                <w:szCs w:val="17"/>
                <w:color w:val="auto"/>
              </w:rPr>
            </w:pPr>
          </w:p>
        </w:tc>
        <w:tc>
          <w:tcPr>
            <w:tcW w:w="1340" w:type="dxa"/>
            <w:vAlign w:val="bottom"/>
          </w:tcPr>
          <w:p>
            <w:pPr>
              <w:jc w:val="right"/>
              <w:ind w:right="55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Board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1,702,370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682,711</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678,024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674,899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Board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Ralph Alexander</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Pierre Lapeyre, Jr.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Leuschen</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Staudinger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Carol Flaton</w:t>
            </w:r>
            <w:r>
              <w:rPr>
                <w:rFonts w:ascii="Times New Roman" w:cs="Times New Roman" w:eastAsia="Times New Roman" w:hAnsi="Times New Roman"/>
                <w:sz w:val="23"/>
                <w:szCs w:val="23"/>
                <w:color w:val="auto"/>
                <w:vertAlign w:val="superscript"/>
              </w:rPr>
              <w:t>(9)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3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Wojtaszek</w:t>
            </w:r>
            <w:r>
              <w:rPr>
                <w:rFonts w:ascii="Times New Roman" w:cs="Times New Roman" w:eastAsia="Times New Roman" w:hAnsi="Times New Roman"/>
                <w:sz w:val="23"/>
                <w:szCs w:val="23"/>
                <w:color w:val="auto"/>
                <w:vertAlign w:val="superscript"/>
              </w:rPr>
              <w:t>(9)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40" w:right="40" w:hanging="332"/>
        <w:spacing w:after="0" w:line="257"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serving on the Current Board receive a base annual cash retainer of $100,000, paid quarterly in arrears. For 2023, because the non-employee directors of the Current Board began serving upon Emergence on May 17, 2023, their base annual cash retainer was pro-rated for the number of days served during 2023. Mr. Schaefer served as the Non-Executive Chair of the Current Board and, in such capacity, received an additional cash retainer of $100,000, which was also pro-rated for the number of days served in 2023. In addition, in December 2023, our non-employee directors serving on the Current Board received a special one-time cash payment of an additional $25,000 as compensation for increased demands in the second half of 2023. These amounts also include an additional $25,000 for additional off-cycle meetings held in 2023 (approved by the Board and paid in December 31, 2023).</w:t>
      </w:r>
    </w:p>
    <w:p>
      <w:pPr>
        <w:spacing w:after="0" w:line="2"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16, 2023, our non-employee directors were awarded RSUs with a grant date fair value of $576,461 that are subject to time-vesting and will vest ratably on each of the first, second and third anniversaries of May 17, 2023 (the vesting commencement date for such awards). In addition, Mr. Schaefer as the Non-Executive Chair of the Current Board was awarded PSUs with a grant date value of $975,909 that are eligible to vest following the third anniversary of May 17, 2023 (the vesting commencement date for the PSUs) subject to achievement of certain performance goals. 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 of Mr. Shaefer’s PSUs shown in the table is $975,909. The payout value of the PSUs calculated at maximum performance achievement earned at the end of the three-year performance period would equal $2,784,156 for Mr. Schaefer.</w:t>
      </w:r>
    </w:p>
    <w:p>
      <w:pPr>
        <w:ind w:left="340" w:hanging="332"/>
        <w:spacing w:after="0" w:line="256"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 in each case, pro-rated based on the number of days served during 2023.</w:t>
      </w:r>
    </w:p>
    <w:p>
      <w:pPr>
        <w:spacing w:after="0" w:line="1" w:lineRule="exact"/>
        <w:rPr>
          <w:rFonts w:ascii="Times New Roman" w:cs="Times New Roman" w:eastAsia="Times New Roman" w:hAnsi="Times New Roman"/>
          <w:sz w:val="14"/>
          <w:szCs w:val="14"/>
          <w:color w:val="auto"/>
        </w:rPr>
      </w:pPr>
    </w:p>
    <w:p>
      <w:pPr>
        <w:ind w:left="340" w:hanging="332"/>
        <w:spacing w:after="0" w:line="260"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Horton served as (i) the Chair of the Compensation Committee and received an additional cash retainer of $15,000 in such capacity, (ii) a member of the Audit Committee and received an additional cash retainer of $10,000 in such capacity, and (iii) a member of the Risk Committee and received an additional cash retainer of $10,000 in such capacity, in each case, pro-rated based on the number of days served during 2023.</w:t>
      </w:r>
    </w:p>
    <w:p>
      <w:pPr>
        <w:ind w:left="340" w:right="480" w:hanging="332"/>
        <w:spacing w:after="0" w:line="254"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Hyde served as (i) the Chair of the Audit Committee and received an additional cash retainer of $20,000 in such capacity and (ii) a member of the Compensation Committee and received an additional cash retainer of $10,000 in such capacity, in each case, pro-rated based on the number of days served during 2023.</w:t>
      </w:r>
    </w:p>
    <w:p>
      <w:pPr>
        <w:ind w:left="340" w:right="620" w:hanging="332"/>
        <w:spacing w:after="0" w:line="278"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Nigro served as (i) the Chair of the Risk Committee and received an additional cash retainer of $15,000 in such capacity and (ii) a member of the Nominating and Governance Committee and received an additional cash retainer of $7,500 in such capacity, in each case, pro-rated based on the number of days served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480" w:hanging="332"/>
        <w:spacing w:after="0" w:line="271"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Benson served as (i) a member of the Risk Committee and received an additional cash retainer of $10,000 in such capacity and (ii) a member of the Nominating and Governance Committee and received an additional cash retainer of $7,500 in such capacity, in each case, pro-rated based on the number of days served during 2023.</w:t>
      </w:r>
    </w:p>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serving on the Prior Board and affiliated with Riverstone, our sole stockholder prior to the Restructuring, did not receive compensation for serving on the Prior Board.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directors serving on the Prior Board received a monthly cash fee of $37,500 for each month of service during 2023, through and including May 2023.</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Post-Emergence 2023 Director Compensation</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Upon Emergence, the Current Board approved a new director compensation program for directors of the Company. Annual non-employee director fees for fiscal 2023 were set at $100,000 payable in cash quarterly in arrears. The Non-Executive Chair of the Current Board also receives an annual retainer in the amount of $100,000 (in addition to the standard annual non-employee director fees), payable in cash quarterly in arrears (or in restricted stock units with a one-year cliff). In addition, in the third quarter of 2023, the Current Board approved a special one-time payment of an additional $25,000 to each non-employee director as compensation for a number of additional off-cycle board and committee meetings in the second half of 2023, which was paid in cash in December 2023.</w:t>
      </w:r>
    </w:p>
    <w:p>
      <w:pPr>
        <w:spacing w:after="0" w:line="13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to annual fees, non-employee directors serving on standing committees of the Current Board were paid as follows: an additional $10,000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Corporate Governance Committee members (or $15,000 for the Chair of the Nominating and Corporate Governance Committee).</w:t>
      </w:r>
    </w:p>
    <w:p>
      <w:pPr>
        <w:spacing w:after="0" w:line="129"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In addition to the fees above, each director serving on the Current Board as of Emergence received a grant of 12,397 RSUs under the 2023 Equity Plan, which will vest in equal annual installments over three years. In 2026, the Company intends to transition to annual equity grants for directors with one-year cliff vesting in an amount to be determined. Upon a termination of a non-employee director’s service on the Current Board for any reason, all unvested RSUs will be forfeited. Upon the occurrence of a “Change in Control” (as defined in the 2023 Equity Plan), all unvested RSUs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will immediately vest.</w:t>
      </w:r>
    </w:p>
    <w:p>
      <w:pPr>
        <w:spacing w:after="0" w:line="14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fees and grant above, the Non-Executive Chair of the Current Board, Stephen Schaefer, also received a grant of 18,891 PSUs under the 2023 Equity Plan, which will vest on the same terms as PSU grants received by the Current NEOs (other than Mr. McFarland) described above, including provisions for accelerated vesting upon certain termination events, such as enhanced benefits in connection with a “Change in Control.” Upon a termination of his service on the Current Board without “Cause” (as defined in the 2023 Equity Plan), or upon a termination due to death or disability that occurs on or following the first anniversary of Emergence, the target number of PSUs subject to the award will be reduced pro-rata to reflect the portion of the performance period during which Mr. Schaefer was a director of the Company (and will otherwise remain outstanding and eligible to vest based on actual performance). Upon termination by the Company for any other reason, all unvested PSUs will be canceled and forfeited.</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non-employee directors may not sell or transfer any of the shares of common stock received upon vesting of RSUs (or, in the case of Mr. Schaefer, PSUs) until the earlier of a “Change in Control” or the third anniversary of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21"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are certain transactions, arrangements and relationships with our directors, executive officers or holders of more than 5% or more of our outstanding capital stock. Most of the arrangements disclosed herein are included due to our historical affiliation with Riverstone, whose affiliates owned 100% of the our common stock from December 2016 until Emergence, and, due to warrants issued pursuant to the Plan of Reorganization, continued to be deemed beneficial owners of more than 5% of our common stock until the warrants were repurchased in September 2023. Additionally, Riverstone affiliates owned more than 10% of the common equity units of Cumulus Digital Holdings from September 2022 until September 2023. Accordingly, arrangements disclosed include applicable transactions between us and affiliates of Riverstone, as well as applicable transactions between us and Cumulus Digital Holdings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Management Fees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Prior to the filing of the Restructuring, TES had customary agreements with affiliates of Riverstone for management services and reimbursement of expenses. Under these agreements, TES paid approximately $1.1 million for management services provided and expenses incurred from January to November 2021. In November 2021, Riverstone agreed to suspend payment of the management fees. The agreements were terminated and remaining fees were waived by Riverstone in connection with the Restructuring.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Independent Contractor</w:t>
      </w:r>
    </w:p>
    <w:p>
      <w:pPr>
        <w:spacing w:after="0" w:line="175"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During 2021 and 2022, TES engaged the services of an immediate family member of an executive officer of the Company through an unaffiliated staffing services firm. TES paid $142,000 and $88,000 under this arrangement during the years ended December 31, 2021 and 2022, respectively. The arrangement ended in the second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Pattern Energy Joint Ventures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Subsidiaries of TES are currently party to three renewables joint ventures with Pattern Energy for the development of two solar projects in Pennsylvania totaling 280 MW and a 600-MW wind project in Montana. Affiliates of Riverstone indirectly own a substantial minority interest in Pattern Energy. The joint venture project companies are jointly controlled and indirectly owned either 49% or 50% by TES, respectively, and 51% or 50% by Pattern Energy, respectively. During the three months ended March 31, 2024, and the years ended December 31, 2023, 2022 and 2021, amounts invested by TES to these joint ventures were $1 million, $2 million, $5 million and $3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Cumulus Investments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Holdings; Buyouts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TES owns certain indirect investments in Cumulus Digital Holdings, our non-wholly owned subsidiary in which Riverstone also owned a minority interest until September 2023. The carrying value of our investments in Cumulus Digital Holdings as of December 31, 2023 and 2022 was $152 million and $114 million, respectively. TES, directly and indirectly, and Riverstone initially became owners of common equity units of Cumulus Digital Holdings (the “Cumulus Digital Units”) in September 2022 in connection with the transactions contemplated by the Cumulus Term Sheet, with TES and Talen Growth receiving approximately 74% of the Cumulus Digital Units and affiliates of Riverstone receiving approximately 21%. Additionally, pursuant to the Cumulus Term Sheet, the then-Chairman of TEC, and the then-Chief Executive Officer of TES and TEC, each purchased Cumulus Digital Units from Riverstone in exchange for $1 million in cash. The remainder of the Cumulus Digital Units were held by Orion. From September 2022 through June 30, 2023, TES’s direct and indirect interest in Cumulus Digital Holdings increased to 81% as a result of incremental investments by TES, and Riverstone’s interest decreased to 14%.</w:t>
      </w:r>
    </w:p>
    <w:p>
      <w:pPr>
        <w:spacing w:after="0" w:line="13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September 2023, Riverstone sold all of its Cumulus Digital Units to TES and Orion in exchange for $20 million in cash (the “Riverstone Buyout”). As a result of the Riverstone Buyout, TES’s direct and indirect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21"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increased to approximately 95%. Additionally, in September 2023 and following the Riverstone Buyout, Talen Growth was merged with and into TES, and, accordingly, at December 31, 2023, TES owned 95% of Cumulus Digital Holdings.</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March 2024, Orion sold all of its Cumulus Digital Units to TES in exchange for $36 million in cash. As a result, TES’s interest further increased to approximately 99.5%. Following TES’s purchase of the Orion equity, Cumulus Digital Holdings distributed approximately $109 million of the initial net proceeds from the Cumulus Data Campus Sale to its members, including approximately $108 million to TES. For additional information on the Cumulus Data Campus Sale, please see “Prospectus Summary—Recent Developments—Cumulus Data Campus Sale.” Later in March 2024, TES acquired all of the Cumulus Digital Units held by the two former members of management in exchange for $3.4 million in cash. Following that transaction, TES now owns 100% of the equity of Cumulus Digital Holdings.</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See the Annual Financial Statements and related notes thereto incorporated by reference into this prospectus for more information on Cumulus Digital Holdings.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Cumulus Coin Holdings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2022, an affiliate of Riverstone invested approximately $46.7 million in Cumulus Coin Holdings, a subsidiary of Cumulus Digital Holdings, in exchange for preferred equity units. During 2021 and 2022, TES, directly and indirectly through Talen Growth, invested $59 million in Cumulus Coin Holdings in exchange for preferred equity units. Pursuant to the Cumulus Term Sheet, these units were converted into common equity units of Cumulus Digital Holdings in September 2022.</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Nautilus Joint Venture</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Cumulus Coin holds a 75% equity interest in Nautilus, with TeraWulf as our joint venture partner owning the other 25%. Under the limited liability company agreement for Nautilus, Cumulus Coin is entitled to designate four of the five members of Nautilus’s board of managers as well as Nautilus’s chief executive officer, president and chief financial officer. TeraWulf is entitled to designate (i) one board member so long as its ownership percentage remains at or above 15%, and (ii) Nautilus’s chief operating officer so long as its ownership percentage remains at or above 25%. The board of managers has overall responsibility and authority for the management and operation of Nautilus, with the officers of Nautilus exercising day-to-day control and supervision of its operations. The limited liability agreement governing Nautilus does not have a specified term. Termination requires consent of Cumulus Coin but does not require consent of TeraWulf for so long as TeraWulf holds less than 33% of the interests of Nautilus.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Nautilus has no employees. TES, the indirect parent of Cumulus Coin, provides corporate and operational services to Nautilus. The Nautilus facility is located on land previously leased by Nautilus from Cumulus Data, but which was subsequently sold to AWS in the Cumulus Data Campus Sale. Under the terms of the lease, which was assigned to an unrelated party in the course of the Cumulus Data Campus Sale, among other things, Cumulus Data submetered up to 150 MW of electric power to Nautilus in exchange for supplemental rent payments. At the time of assignment, the lease had an initial term that expires on July 1, 2027, renewable at Nautilus’s option. The power was supplied to Cumulus Data by Talen Generation pursuant to the Coin PPA described under “—Energy Supply Agreements” below.</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Nautilus is engaged in Bitcoin mining through a third-party, U.S.-based mining pool operator, Foundry USA. Nautilus owns its miners that are installed at its mining facility and does not host miners owned or operated by any other parties. Nautilus provides computing power from its miners to the mining pool operator, and in exchange is paid compensation in the form of Bitcoin on a daily basis. An immaterial fee is charged by the mining pool operator to Nautilus that is deducted from the Bitcoin earned by Nautilus. Nautilus recognizes revenue daily that is measured at fair value using the quoted price for Bitcoin in Nautilus’s principal market at the beginning of each day. See Note 2 in Notes to the Annual Financial Statements for more information on Nautilus revenue recognition. Bitcoin received by Nautilus is required to be exchanged for cash, as necessary, to fund ongoing operations, including a reserve determined by the Nautilus board. Revenues and power costs are allocated pro rata to Cumulus Coin based on the computing power (“hash rate”) and power consumption of miners contributed to Nautilus from Cumulus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121" w:right="3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Coin. Cumulus Coin pays miner maintenance costs based on the number of miners contributed by Cumulus Coin, while other operational costs are paid based on Cumulus Coin’s ownership percentage. As of March 31, 2024, there were approximately 48,000 miners at the facility, with an average hash rate of approximately five exahash per second, that were all newly installed in 2023 and have an average service life of thirteen months. Since the start of operations in February 2023 through March 31, 2024, Nautilus mined a total of approximately 4,400 Bitcoin. Nautilus miners are insured up to the applicable limits under the Nautilus miner property policies.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Nautilus is party to broker and custodial agreements with Coinbase, Inc. and certain of its affiliates (collectively “Coinbase”) which provides Nautilus access to liquidate its mined Bitcoin to USD and permits Nautilus to store with Coinbase, on a short-term basis, any Bitcoin prior to liquidation or distribution. Nautilus generally liquidates Bitcoin to USD within one business day to meet its operating requirements and immediately transfers any USD proceeds to its FDIC insured financial institution. Excess Bitcoin available above operating requirements and any applicable reserve is required to be distributed to Cumulus Coin in the form of cash or Bitcoin, at its option, at least once every two weeks. Excess Bitcoin attributable to Cumulus Coin is converted to cash at Nautilus prior to the distribution to Cumulus Coin. Neither Cumulus Coin nor any other Talen affiliates hold any material amount of Bitcoin. Due to Nautilus’s requirement to liquidate Bitcoin to support its operations and its requirement to distribute excess Bitcoin or proceeds from excess Bitcoin sales to the joint venture owners, the Company does not expect to incur any material impairment losses or gains or losses on Bitcoin sales. Additionally, as Nautilus only has a short-term exposure to Bitcoin and Coinbase, it utilizes a “hot” wallet storage product and does not carry insurance on any of its Coinbase accounts. See Note 2 in Notes to the Annual Financial Statements for more information on re-measurement valuation of Bitcoin.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Supply Agreements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Prior to the Cumulus Data Campus Sale, Cumulus Data was party to the following two separate agreements with Talen Generation for energy supply ultimately sourced from Susquehanna: (i) an agreement for up to 300 MW which supported submetered power to Nautilus under a ground lease agreement (the “Coin PPA”); and (ii) a separate option agreement for up to 650 MW which was intended to support Cumulus Data’s anticipated obligations to provide submetered power under lease agreements with data center tenants (the “Data PPA”). In connection with the Cumulus Data Campus Sale, the Coin PPA was assigned to an affiliate of AWS and the Data PPA was terminated. Prior to the Cumulus Data Campus Sale, Cumulus Data had elected to receive 150 MW under the Coin PPA and had not yet elected to receive any power under the Data PPA. Talen Generation’s obligation to supply power to Cumulus Data under each of the agreements was backstopped by wholesale energy supply agreements with Susquehanna on substantially the same terms as the Coin PPA and the Data PPA, respectively. The wholesale agreement supporting the Coin PPA was assigned to an affiliate of AWS in connection with the Cumulus Data Campus Sale, and the commitment for wholesale power to support the Data PPA was terminated. For additional information on the Cumulus Data Campus Sale, please see “Prospectus Summary—Recent Developments—Cumulus Data Campus Sale.”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power under the Coin PPA, together with the five-year initial term of the agreement, commenced in February 2023.</w:t>
      </w:r>
    </w:p>
    <w:p>
      <w:pPr>
        <w:spacing w:after="0" w:line="17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Coin PPA, Talen Generation sold the first 100 MW of power to Cumulus Data at a price of $28.81 per MWh of delivered energy, and the next 50 MW at a price of $44.05 per MWh of delivered energy.</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Data PPA, Cumulus Data had the option to purchase up to 650 MW of power from Talen Generation at a market-based fixed rate that was to have been determined at the time of election. Cumulus Data had until September 2026 to exercise the option, but the option had not been exercised prior to termination of the Data PPA, and no power was delivered.</w:t>
      </w:r>
    </w:p>
    <w:p>
      <w:pPr>
        <w:spacing w:after="0" w:line="12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No energy was sold or payments made under the Data PPA during the years ended December 31, 2023, 2022 and 2021, and no energy was sold or payments made under the Coin PPA during the years ended December 31, 2022 and 2021. Talen Generation charged $7 million and $35 million to Cumulus Data under the Coin PPA for the three months ended March 31, 2024 and the year ended December 31, 2023, respectively, with corresponding payments over the same period from Talen Generation to Susquehanna for wholesale power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21" w:right="3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Plan of Reorganization and the TEC Global Settlement, affiliates of Riverstone received an additional 243,413 shares of common stock at Emergence, representing 25.00% of the estimated net present value of certain potential incremental energy revenues associated with the Coin PPA.</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Additionally, affiliates of Riverstone also had the right under the Plan of Reorganization and the TEC Global Settlement to receive additional common stock (or, at TEC’s option, a cash payment) equal to 25.00% of the estimated net present value of certain potential incremental energy revenues under the Data PPA. This agreement was terminated contemporaneously with the closing of the Riverstone Buyout.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Operational Services Agreement</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Cumulus Digital and its subsidiaries have no employees. As a result, Cumulus Digital has contracted with TES to provide corporate, administrative and operational services under a Corporate and Operational Services Agreement (the “Cumulus Digital COSA”). TES’s services under the Cumulus Digital COSA include support of Cumulus Digital’s obligation to provide Nautilus with corporate and administrative services under a separate agreement.</w:t>
      </w:r>
    </w:p>
    <w:p>
      <w:pPr>
        <w:spacing w:after="0" w:line="122"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In exchange for providing these services, TES is entitled to an annual management fee of $750,000, plus overhead charges approximating the cost of service at rates specified in the agreement, as well as the reimbursement of certain costs incurred in support of Cumulus Digital and its subsidiaries. The agreement terminates in September 2027, subject to earlier termination by Cumulus Digital upon 60 days’ prior notice or by TES upon 180 days’ prior notice. Prior to the Cumulus Data Campus Sale and associated repayment of the Cumulus Digital TLF, cash payment of fees and expenses under the agreement were required to be deferred until the earlier of: (i) two years from the commercial operation date of the Nautilus facility; and (ii) the date Cumulus Data and Cumulus Coin meet a minimum interest coverage threshold. TES had the option to receive payment for deferred fees and expenses in cash payments ratably over the next succeeding 24 months or in additional common units of Cumulus Digital Holdings, subject to certain caps. Fees and expenses payable to TES under the agreement for the three months ended March 31, 2024, and the years ended December 31, 2023 and 2022 were $3.2 million, $18.5 million and $14.6 million, respectively, of which $26.3 million was converted to additional common units in Cumulus Digital Holdings in June 2023.</w:t>
      </w:r>
    </w:p>
    <w:p>
      <w:pPr>
        <w:spacing w:after="0" w:line="14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Following the repayment of the Cumulus Digital TLF in March 2024,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Facility Operations Agreement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2022, Nautilus and TES executed a Facilities Operations Agreement (the “Nautilus FOA”) whereby TES agreed to provide, or arrange for Nautilus, certain infrastructure, construction, operations and maintenance and administrative services necessary to build out and operate the Nautilus facility and support Nautilus’s ongoing business at the Nautilus facility. The services were previously provided to Nautilus under an agreement with an affiliate of TeraWulf, our unaffiliated joint venture partner in Nautilus, which was terminated upon execution of the Nautilus FOA with TES. TES is entitled to reimbursement of its costs (including direct personnel costs) incurred in performing the services on a monthly basis but is not otherwise entitled to a management fee. The Nautilus FOA expires in December 2025. Amounts payable by Nautilus to TES under the Nautilus FOA were $700 thousand, $5 million, and $45 thousand for the three months ended March 31, 2024, and the years ended December 31,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Supporting Cumulus Digital TLF and Reimbursement Agreement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TES provided $50 million in LCs to support certain of Cumulus Digital’s obligations under the Cumulus Digital TLF. Cumulus Digital agreed to reimburse TES for fees associated with the LCs in the form of cash payments or additional common units of Cumulus Digital Holdings, subject to certain caps. Prior to the Cumulus Data Campus Sale and associated repayment of the Cumulus Digital TLF, payment of cash fees was deferred until the earlier of: (i) two years from the commercial operation date of the Nautilus facility; and (ii) the date Cumulus Data and Cumulus Coin meet a minimum interest coverage threshold. Fees and expenses payable to TES under the agreement for the three months ended March 31, 2024, and the years ended December 31,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1" w:right="3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2022 were $0.6 million, $3.3 million and $2.6 million, respectively, of which $3.7 million was converted to additional common units in Cumulus Digital Holdings in June 2023.</w:t>
      </w:r>
    </w:p>
    <w:p>
      <w:pPr>
        <w:spacing w:after="0" w:line="10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Cumulus Data Campus Sale, on March 1, 2024, the Cumulus Digital TLF was repaid in full and terminated, and the LCs provided by TES to support Cumulus Digital’s obligations under the Cumulus Digital TLF were terminated.</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Following repayment of the Cumulus Digital TLF,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Cumulus Digital TLF</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Cumulus Data Campus Sale, TEC had provided a guarantee to the lenders under the Cumulus Digital TLF for certain shortfalls in principal and interest payments by Cumulus Digital (up to a maximum of 23% of the principal amount of outstanding loans under the Cumulus Digital TLF). In connection with the Cumulus Data Campus Sale, the Cumulus Digital TLF was repaid in full and the guarantees TEC provided to the lenders thereof were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 Agreement</w:t>
      </w:r>
    </w:p>
    <w:p>
      <w:pPr>
        <w:spacing w:after="0" w:line="17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In September 2022, upon the Bankruptcy Court’s approval of the transactions contemplated by the Cumulus Term Sheet, Riverstone agreed to indemnify the Company (or, at our option, TES) for:</w:t>
      </w:r>
    </w:p>
    <w:p>
      <w:pPr>
        <w:spacing w:after="0" w:line="108"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TES in excess of $33 million, if any, utilized to reduce our income tax obligations which, absent such tax attributes, would have otherwise been payable in connection with such transactions.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TIA was terminated contemporaneously with the closing of the Riverstone Buyout.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Stockholders Agreement</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Emergence, we entered into (i) a registration rights agreement (the “Registration Rights Agreement”) with certain designated holders of our common stock and warrants to purchase our common stock and the other holders from time to time party thereto (each, a “Reg Rights Holder”) and (ii) a stockholders agreement (the “Stockholders Agreement”) with all of the holders of our common stock as of Emergence, which also applies to their respective transferees (the “Holders”). Under the Registration Rights Agreement, the Reg Rights Holders were granted customary registration rights that may be exercised after the consummation of an initial public offering, including customary shelf registration rights and piggyback rights.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Stockholders Agreement, the Holders have certain limited information rights, drag-along rights and tag-along rights, and certain Holders holding 5% or more of common stock have the right to designate a representative to an offering committee (the “Offering Committee”) and so long as the aggregate Company ownership represented on the Offering Committee is at least 20%. Although the Offering Committee has not been established, it would, if established, have the right to request that the Company pursue and use its reasonable best efforts to consummate an underwritten initial public offering. In connection with such underwritten initial public offering, the Offering Committee has certain consent rights, including over the selection of a lead underwriter, structure of the offering, terms and conditions of material transaction documents, selection of a stock exchange, valuation matters, timing and pricing terms. Additionally, any holder that beneficially owns at least 3% of the Company’s common stock is entitled to participate in any secondary component of an underwritten initial public offering. The Stockholders Agreement terminates automatically upon the effectiveness of a registration statement in connection with an underwritten public offering of the Company’s common stock, so the Stockholders Agreement will remain in effect following the effectiveness of this registration statement. The Stockholders Agreement also terminates upon the written consent of the Company and the Holders that beneficially own at least two-thirds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Company’s outstanding common stock; provided that the Stockholders Agreement may not be terminated with respect to any Holder without such Holder’s consent if such termination would adversely affect such Holder.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Warrant Cancellation</w:t>
      </w:r>
    </w:p>
    <w:p>
      <w:pPr>
        <w:spacing w:after="0" w:line="17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Plan of Reorganization and the TEC Global Settlement, at Emergence, affiliates of Riverstone received warrants to acquire an additional 3,106,781 shares of common stock. In August 2023, TEC, TES and the Riverstone affiliates agreed that (i) the warrants would be surrendered and the Riverstone affiliates would waive their right to receive additional common stock in connection with the Data PPA and (ii) the TIA would be terminated in exchange for a $40 million cash payment by TES. The transactions were consummated in September 2023 contemporaneously with the closing of the Riverstone Buyout.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related party transactions policy pursuant to which we will review any future transaction, arrangement or relationship in which the Company, is or will be a participant, in which the aggregate amount involved will or may be expected to exceed $120,000 in any fiscal year and any of the following has or will have a direct or indirect material interest:</w:t>
      </w:r>
    </w:p>
    <w:p>
      <w:pPr>
        <w:spacing w:after="0" w:line="122"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director nominee, executive officer or executive officer appointee;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that beneficially owns more than 5% of any class of our voting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such person described in clauses (i) and (ii);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such persons described in clauses (i) through (iii), is employed or is a general partner or principal or in a similar position or in which such person has a 10% or greater beneficial ownership interest (such a transaction, a “Related Party Transaction”).</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General Counsel is primarily responsible for the development and implementation of processes and controls to obtain information from directors, director nominees, executive officers and executive officer appointees with respect to potential Related Party Transactions, including information provided to management in the annual director and officer questionnaires. Upon learning of a potential Related Party Transaction, our General Counsel refers the matter for consideration and final determination by the audit committee, who consider the fairness of the transaction to the Company, as well as other factors bearing upon its appropriateness. In all such matters, any director having a conflicting interest abstains from participating in any discussion or voting on the matters.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00"/>
          </w:cols>
          <w:pgMar w:left="320" w:top="121" w:right="37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June 3, 2024 for:</w:t>
      </w:r>
    </w:p>
    <w:p>
      <w:pPr>
        <w:spacing w:after="0" w:line="171"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any class of our voting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and being registered for resale by means of this prospectus for the Selling Stockholders.</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Selling Stockholders include (i) our affiliates and certain other stockholders with “restricted securities” (as defined in Rule 144 under the Securities Act) and their pledgees, donees, transferees, assignees or other successors-in-interest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and their pledgees, donees, transferees, assignees or other successors-in-interest who acquired shares from us within the prior 12 months under Rule 701 and hold “restricted securities” (as defined in Rule 144 under the Securities Act). The Selling Stockholders and their pledgees, donees, transferees, assignees or other successors-in-interest may, or may not, elect to sell their shares of common stock covered by this prospectus, as and to the extent they may determine. Such sales, if any, will be made through brokerage transactions on Nasdaq at prevailing market prices. As such, we will have no input if and when any Selling Stockholder may, or may not, elect to sell their shares of common stock or the prices at which any such sales may occur. See the section titled “Plan of Distribution.”</w:t>
      </w:r>
    </w:p>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Information concerning the Selling Stockholders may change from time to time and any changed information will be set forth in supplements to this prospectus, if and when necessary. Because the Selling Stockholders may sell all, some or none of the shares of common stock covered by this prospectus, we cannot determine the number of such shares of common stock that will be sold by the Selling Stockholders, or the amount or percentage of shares of common stock that will be held by the Selling Stockholders upon consummation of any particular sale. In addition, the Selling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Selling Stockholders do not have, nor have they within the past three years had, any position, office or other material relationship with us, other than as disclosed in this prospectus. See the sections titled “Management” and “Certain Relationships and Related Party Transactions” for further information regarding the Selling Stockholders.</w:t>
      </w:r>
    </w:p>
    <w:p>
      <w:pPr>
        <w:spacing w:after="0" w:line="13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After the listing of our common stock on Nasdaq, certain of the Selling Stockholders are entitled to registration rights with respect to their shares of our capital stock, as described in the section titled “Description of Capital Stock—Registration Rights.”</w:t>
      </w:r>
    </w:p>
    <w:p>
      <w:pPr>
        <w:spacing w:after="0" w:line="10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arrangement with any Selling Stockholder or any broker-dealer with respect to sales of the shares of common stock by the Selling Stockholders.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121" w:right="35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firstLine="324"/>
        <w:spacing w:after="0" w:line="257" w:lineRule="auto"/>
        <w:rPr>
          <w:sz w:val="20"/>
          <w:szCs w:val="20"/>
          <w:color w:val="auto"/>
        </w:rPr>
      </w:pPr>
      <w:r>
        <w:rPr>
          <w:rFonts w:ascii="Times New Roman" w:cs="Times New Roman" w:eastAsia="Times New Roman" w:hAnsi="Times New Roman"/>
          <w:sz w:val="18"/>
          <w:szCs w:val="18"/>
          <w:color w:val="auto"/>
        </w:rPr>
        <w:t>Applicable percentage ownership is based on 58,535,843 shares of common stock outstanding as of June 3, 2024. In computing the number of shares beneficially owned by a person and the percentage ownership of such person, we deemed to be outstanding all shares subject to options held by the person that are currently exercisable, or exercisable within 60 days of June 3, 2024 or issuable pursuant to RSUs that vest within 60 days of June 3, 2024.</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except as described above, we did not deem such shares outstanding for the purpose of computing the percentage ownership of any other person. The information set forth in the table below regarding the beneficial ownership after resale of the shares of common stock is based upon the assumption that the Selling Stockholders will sell all of the shares of common stock beneficially owned by them that are covered by this prospectus.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2929 Allen Pkwy, Suite 2200, Houston, Texas 77019.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860" w:type="dxa"/>
            <w:vAlign w:val="bottom"/>
            <w:tcBorders>
              <w:bottom w:val="single" w:sz="8" w:color="auto"/>
            </w:tcBorders>
            <w:gridSpan w:val="3"/>
          </w:tcPr>
          <w:p>
            <w:pPr>
              <w:ind w:left="1000"/>
              <w:spacing w:after="0" w:line="202" w:lineRule="exact"/>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8"/>
                <w:szCs w:val="18"/>
                <w:b w:val="1"/>
                <w:bCs w:val="1"/>
                <w:color w:val="auto"/>
                <w:vertAlign w:val="superscript"/>
              </w:rPr>
              <w:t>(2)</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restart"/>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8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bottom w:val="single" w:sz="8" w:color="auto"/>
            </w:tcBorders>
            <w:gridSpan w:val="3"/>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13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86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0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(1)</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Rubric</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Capital Management LP</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13,782,407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13,782,407</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Monarch Alternative Capital LP</w:t>
            </w:r>
            <w:r>
              <w:rPr>
                <w:rFonts w:ascii="Times New Roman" w:cs="Times New Roman" w:eastAsia="Times New Roman" w:hAnsi="Times New Roman"/>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3,845,105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Research and Management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3,099,169</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“Mac” McFarland</w:t>
            </w:r>
            <w:r>
              <w:rPr>
                <w:rFonts w:ascii="Times New Roman" w:cs="Times New Roman" w:eastAsia="Times New Roman" w:hAnsi="Times New Roman"/>
                <w:sz w:val="23"/>
                <w:szCs w:val="23"/>
                <w:color w:val="auto"/>
                <w:vertAlign w:val="superscript"/>
              </w:rPr>
              <w:t>(6)</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Stephen Schaefer</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(6)</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(6)</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(6)</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Nutt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(7)</w:t>
            </w:r>
          </w:p>
        </w:tc>
        <w:tc>
          <w:tcPr>
            <w:tcW w:w="1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(11 persons)</w:t>
            </w:r>
          </w:p>
        </w:tc>
        <w:tc>
          <w:tcPr>
            <w:tcW w:w="1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Stockholders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FIG LLC</w:t>
            </w:r>
            <w:r>
              <w:rPr>
                <w:rFonts w:ascii="Times New Roman" w:cs="Times New Roman" w:eastAsia="Times New Roman" w:hAnsi="Times New Roman"/>
                <w:sz w:val="23"/>
                <w:szCs w:val="23"/>
                <w:color w:val="auto"/>
                <w:vertAlign w:val="superscript"/>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2,813,652</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Sachem Head Capital Management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Citadel Advisors LLC</w:t>
            </w:r>
            <w:r>
              <w:rPr>
                <w:rFonts w:ascii="Times New Roman" w:cs="Times New Roman" w:eastAsia="Times New Roman" w:hAnsi="Times New Roman"/>
                <w:sz w:val="23"/>
                <w:szCs w:val="23"/>
                <w:color w:val="auto"/>
                <w:vertAlign w:val="superscript"/>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2,376,772</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CQS (UK)</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LLP</w:t>
            </w:r>
            <w:r>
              <w:rPr>
                <w:rFonts w:ascii="Times New Roman" w:cs="Times New Roman" w:eastAsia="Times New Roman" w:hAnsi="Times New Roman"/>
                <w:sz w:val="11"/>
                <w:szCs w:val="11"/>
                <w:color w:val="auto"/>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2,260,643</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Carronade Capital Management,</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2,100,980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2,100,980</w:t>
            </w:r>
          </w:p>
        </w:tc>
        <w:tc>
          <w:tcPr>
            <w:tcW w:w="10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2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Nuveen Asset Management LLC</w:t>
            </w:r>
            <w:r>
              <w:rPr>
                <w:rFonts w:ascii="Times New Roman" w:cs="Times New Roman" w:eastAsia="Times New Roman" w:hAnsi="Times New Roman"/>
                <w:sz w:val="23"/>
                <w:szCs w:val="23"/>
                <w:color w:val="auto"/>
                <w:vertAlign w:val="superscript"/>
              </w:rPr>
              <w:t>(13)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1,844,267</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1,844,267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Parsifal Capital Management, LP</w:t>
            </w:r>
            <w:r>
              <w:rPr>
                <w:rFonts w:ascii="Times New Roman" w:cs="Times New Roman" w:eastAsia="Times New Roman" w:hAnsi="Times New Roman"/>
                <w:sz w:val="23"/>
                <w:szCs w:val="23"/>
                <w:color w:val="auto"/>
                <w:vertAlign w:val="superscript"/>
              </w:rPr>
              <w:t>(14)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1,716,738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2.9 %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1,716,738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Two Seas Capital LP</w:t>
            </w:r>
            <w:r>
              <w:rPr>
                <w:rFonts w:ascii="Times New Roman" w:cs="Times New Roman" w:eastAsia="Times New Roman" w:hAnsi="Times New Roman"/>
                <w:sz w:val="23"/>
                <w:szCs w:val="23"/>
                <w:color w:val="auto"/>
                <w:vertAlign w:val="superscript"/>
              </w:rPr>
              <w:t>(15)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1,455,108</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1,455,108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 Schoenfeld Asset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1,363,468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1,363,468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Glendon Capital Management, L.P.</w:t>
            </w: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1,280,711</w:t>
            </w:r>
          </w:p>
        </w:tc>
        <w:tc>
          <w:tcPr>
            <w:tcW w:w="14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2.2 %</w:t>
            </w:r>
          </w:p>
        </w:tc>
        <w:tc>
          <w:tcPr>
            <w:tcW w:w="1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2.2 %</w:t>
            </w:r>
          </w:p>
        </w:tc>
        <w:tc>
          <w:tcPr>
            <w:tcW w:w="16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1,280,711</w:t>
            </w: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(17)</w:t>
            </w:r>
          </w:p>
        </w:tc>
        <w:tc>
          <w:tcPr>
            <w:tcW w:w="16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 Rothschild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3"/>
                <w:szCs w:val="23"/>
                <w:color w:val="auto"/>
                <w:vertAlign w:val="superscript"/>
              </w:rPr>
              <w:t>(18)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986,980</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986,980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Lord Abbett &amp; Co. LLC</w:t>
            </w:r>
            <w:r>
              <w:rPr>
                <w:rFonts w:ascii="Times New Roman" w:cs="Times New Roman" w:eastAsia="Times New Roman" w:hAnsi="Times New Roman"/>
                <w:sz w:val="23"/>
                <w:szCs w:val="23"/>
                <w:color w:val="auto"/>
                <w:vertAlign w:val="superscript"/>
              </w:rPr>
              <w:t>(19)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960,210</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960,210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Franklin Advisers, Inc.</w:t>
            </w:r>
            <w:r>
              <w:rPr>
                <w:rFonts w:ascii="Times New Roman" w:cs="Times New Roman" w:eastAsia="Times New Roman" w:hAnsi="Times New Roman"/>
                <w:sz w:val="23"/>
                <w:szCs w:val="23"/>
                <w:color w:val="auto"/>
                <w:vertAlign w:val="superscript"/>
              </w:rPr>
              <w:t>(20)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888,808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888,808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Riverstone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3"/>
                <w:szCs w:val="23"/>
                <w:color w:val="auto"/>
                <w:vertAlign w:val="superscript"/>
              </w:rPr>
              <w:t>(21)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833,701</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833,701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Atalan Capital Partners, LP</w:t>
            </w:r>
            <w:r>
              <w:rPr>
                <w:rFonts w:ascii="Times New Roman" w:cs="Times New Roman" w:eastAsia="Times New Roman" w:hAnsi="Times New Roman"/>
                <w:sz w:val="23"/>
                <w:szCs w:val="23"/>
                <w:color w:val="auto"/>
                <w:vertAlign w:val="superscript"/>
              </w:rPr>
              <w:t>(22)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820,120</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820,120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PointState Capital LP</w:t>
            </w:r>
            <w:r>
              <w:rPr>
                <w:rFonts w:ascii="Times New Roman" w:cs="Times New Roman" w:eastAsia="Times New Roman" w:hAnsi="Times New Roman"/>
                <w:sz w:val="23"/>
                <w:szCs w:val="23"/>
                <w:color w:val="auto"/>
                <w:vertAlign w:val="superscript"/>
              </w:rPr>
              <w:t>(23)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814,929</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814,929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Sculptor Capital Management, Inc.</w:t>
            </w:r>
            <w:r>
              <w:rPr>
                <w:rFonts w:ascii="Times New Roman" w:cs="Times New Roman" w:eastAsia="Times New Roman" w:hAnsi="Times New Roman"/>
                <w:sz w:val="23"/>
                <w:szCs w:val="23"/>
                <w:color w:val="auto"/>
                <w:vertAlign w:val="superscript"/>
              </w:rPr>
              <w:t>(24)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770,908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770,908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Yost Capital Management, LP</w:t>
            </w:r>
            <w:r>
              <w:rPr>
                <w:rFonts w:ascii="Times New Roman" w:cs="Times New Roman" w:eastAsia="Times New Roman" w:hAnsi="Times New Roman"/>
                <w:sz w:val="23"/>
                <w:szCs w:val="23"/>
                <w:color w:val="auto"/>
                <w:vertAlign w:val="superscript"/>
              </w:rPr>
              <w:t>(25)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705,969</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705,969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Oaktree Capital Management, L.P.</w:t>
            </w:r>
            <w:r>
              <w:rPr>
                <w:rFonts w:ascii="Times New Roman" w:cs="Times New Roman" w:eastAsia="Times New Roman" w:hAnsi="Times New Roman"/>
                <w:sz w:val="23"/>
                <w:szCs w:val="23"/>
                <w:color w:val="auto"/>
                <w:vertAlign w:val="superscript"/>
              </w:rPr>
              <w:t>(26)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643,828</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643,828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Philosophy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(27)</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606,420</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606,420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Pentwater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540,951</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540,951</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CastleKnight Management LP</w:t>
            </w:r>
            <w:r>
              <w:rPr>
                <w:rFonts w:ascii="Times New Roman" w:cs="Times New Roman" w:eastAsia="Times New Roman" w:hAnsi="Times New Roman"/>
                <w:sz w:val="23"/>
                <w:szCs w:val="23"/>
                <w:color w:val="auto"/>
                <w:vertAlign w:val="superscript"/>
              </w:rPr>
              <w:t>(29)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408,924</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408,924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DG Capital</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3"/>
                <w:szCs w:val="23"/>
                <w:color w:val="auto"/>
                <w:vertAlign w:val="superscript"/>
              </w:rPr>
              <w:t>(30)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300,000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Aristeia Capital, L.L.C.</w:t>
            </w:r>
            <w:r>
              <w:rPr>
                <w:rFonts w:ascii="Times New Roman" w:cs="Times New Roman" w:eastAsia="Times New Roman" w:hAnsi="Times New Roman"/>
                <w:sz w:val="23"/>
                <w:szCs w:val="23"/>
                <w:color w:val="auto"/>
                <w:vertAlign w:val="superscript"/>
              </w:rPr>
              <w:t>(31)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295,000</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295,000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Purpose</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Investments Inc.</w:t>
            </w:r>
            <w:r>
              <w:rPr>
                <w:rFonts w:ascii="Times New Roman" w:cs="Times New Roman" w:eastAsia="Times New Roman" w:hAnsi="Times New Roman"/>
                <w:sz w:val="23"/>
                <w:szCs w:val="23"/>
                <w:color w:val="auto"/>
                <w:vertAlign w:val="superscript"/>
              </w:rPr>
              <w:t>(32)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255,744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255,744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FourWorld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239,367</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239,367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Hartree Partners GP, LLC</w:t>
            </w:r>
            <w:r>
              <w:rPr>
                <w:rFonts w:ascii="Times New Roman" w:cs="Times New Roman" w:eastAsia="Times New Roman" w:hAnsi="Times New Roman"/>
                <w:sz w:val="23"/>
                <w:szCs w:val="23"/>
                <w:color w:val="auto"/>
                <w:vertAlign w:val="superscript"/>
              </w:rPr>
              <w:t>(34)</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Capital Partners, L.P.</w:t>
            </w:r>
            <w:r>
              <w:rPr>
                <w:rFonts w:ascii="Times New Roman" w:cs="Times New Roman" w:eastAsia="Times New Roman" w:hAnsi="Times New Roman"/>
                <w:sz w:val="23"/>
                <w:szCs w:val="23"/>
                <w:color w:val="auto"/>
                <w:vertAlign w:val="superscript"/>
              </w:rPr>
              <w:t>(35)</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139,292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139,292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ACR Alpine Capital Research,</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102,157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102,157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180" w:hanging="332"/>
        <w:spacing w:after="0" w:line="261"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voting power represents voting power with respect to all shares of our common stock held beneficially as a single class. The holders of our common stock will be entitled to one vote per share.</w:t>
      </w:r>
    </w:p>
    <w:p>
      <w:pPr>
        <w:ind w:left="320" w:hanging="312"/>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 sells all of the shares of common stock offered pursuant to this prospectus.</w:t>
      </w:r>
    </w:p>
    <w:p>
      <w:pPr>
        <w:spacing w:after="0" w:line="14"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8,981,221 shares held by Rubric Capital Master Fund LP, (ii) 3,173,129 shares held by Rubric BSR Fund LLC, (iii) 849,918 shares of common stock held by Blackstone CSP-MST FMAP Fund and (iv) 778,139 shares held by BEMAP Master Fund Ltd. (collectively, the “Rubric Funds”). The Rubric Funds are managed or sub-managed by Rubric Capital Management LP, as applicable. The sole general partner of Rubric Capital Management LP is Rubric Capital Management GP LLC. The managing member of Rubric Capital Management GP LLC is David Rosen. Mr. Rosen may be deemed to have shared voting and investment power of the securities managed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21" w:right="339" w:bottom="1440" w:gutter="0" w:footer="0" w:header="0"/>
        </w:sectPr>
      </w:pPr>
    </w:p>
    <w:bookmarkStart w:id="145" w:name="page146"/>
    <w:bookmarkEnd w:id="145"/>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380"/>
        <w:spacing w:after="0" w:line="271" w:lineRule="auto"/>
        <w:rPr>
          <w:sz w:val="20"/>
          <w:szCs w:val="20"/>
          <w:color w:val="auto"/>
        </w:rPr>
      </w:pPr>
      <w:r>
        <w:rPr>
          <w:rFonts w:ascii="Times New Roman" w:cs="Times New Roman" w:eastAsia="Times New Roman" w:hAnsi="Times New Roman"/>
          <w:sz w:val="14"/>
          <w:szCs w:val="14"/>
          <w:color w:val="auto"/>
        </w:rPr>
        <w:t>sub-managed, as applicable, by Rubric Capital Management LP. Mr. Rosen disclaims beneficial ownership of such securities, except to the extent of his pecuniary interest therein. The address of the Rubric Funds is 155 E. 44th Street, New York, NY 10017.</w:t>
      </w:r>
    </w:p>
    <w:p>
      <w:pPr>
        <w:ind w:left="332" w:right="20" w:hanging="332"/>
        <w:spacing w:after="0" w:line="255" w:lineRule="auto"/>
        <w:tabs>
          <w:tab w:leader="none" w:pos="32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1,939,025 shares held by Monarch Capital Master Partners V LP, (ii) 745,309 shares held by Monarch Capital Master Partners VI LP, (iii) 57,306 shares held by Monarch Customized Opportunistic Fund – Series 1 LP, (iv) 524,056 shares held by Monarch Debt Recovery Master Fund Ltd and (v) 579,409 shares held by Monarch V Select Opportunities Master Fund LP (collectively, the “Monarch Funds”). Monarch Alternative Capital LP Capital is the beneficial owner of the Company’s common stock and has been delegated the power to vote and dispose of the shares on behalf of the Monarch Funds. MDRA GP LP, Monarch GP LLC, Michael Weinstock, Andrew Herenstein and Christopher Santana share beneficial ownership with Monarch Alternative Capital LP by virtue of the fact that MDRA GP LP is the general partner of Monarch Alternative Capital LP, Monarch GP LLC is the general partner of MDRA GP LP and Monarch GP LLC is managed by Messrs. Weinstock, Herenstein and Santana. The address of the Monarch Funds is c/o Monarch Alternative Capital LP, 535 Madison Avenue, 22nd Floor, New York, NY 10022.</w:t>
      </w:r>
    </w:p>
    <w:p>
      <w:pPr>
        <w:spacing w:after="0" w:line="4" w:lineRule="exact"/>
        <w:rPr>
          <w:rFonts w:ascii="Times New Roman" w:cs="Times New Roman" w:eastAsia="Times New Roman" w:hAnsi="Times New Roman"/>
          <w:sz w:val="14"/>
          <w:szCs w:val="14"/>
          <w:color w:val="auto"/>
        </w:rPr>
      </w:pPr>
    </w:p>
    <w:p>
      <w:pPr>
        <w:ind w:left="332" w:hanging="332"/>
        <w:spacing w:after="0" w:line="257" w:lineRule="auto"/>
        <w:tabs>
          <w:tab w:leader="none" w:pos="32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356 shares held by American Funds Insurance Series - Capital World Bond Fund, (ii) 2,242,027 shares held by American High-Income Trust, (iii) 109,720 shares held by American Funds Insurance Series – American High-Income Trust, (iv) 372,237 shares held by American Funds Multi-Sector Income Fund, (v) 368,879 shares held by The Income Fund of America and (vi) 5,950 shares held by Capital Group U.S. High-Yield Trust (US). Capital Research and Management Company (“CRMC”) is the investment adviser for American Funds Insurance Series – Capital World Bond Fund, American High-Income Trust, American Funds Insurance Series – American High-Income Trust, American Funds Multi-Sector Income Fund, The Income Fund of America and Capital Group U.S High-Yield Trust (US) (collectively, the “CRMC Funds”). CRMC may be deemed to be the beneficial owner of the shares held by each CRMC Fund; however, CRMC expressly disclaims that it is, in fact, the beneficial owner of such securities. Philip Chitty, Andrew A. Cormack and Thomas Reithinger, as portfolio managers, have voting or investment control over the shares held by American Funds Insurance Series – Capital World Bond Fund. Tom Chow, David A. Daigle, Tara L. Torrens and Shannon Ward, as portfolio managers, have voting or investment control over the shares held by American High-Income Trust, American Funds Insurance Series – American High-Income Trust and Capital Group U.S. High-Yield Trust (US). Xavier Goss, Damien J. McCann, Kirstie Spence, Scott Sykes and Shannon Ward, as portfolio managers, have voting or investment control over the shares held by American Funds Multi-Sector Income Fund. Hilda L. Applbaum, Pramod Atluri, David A. Daigle, Dimitrije M. Mitrinovic, John R. Queen, Caroline Randall, Anirudh Samsi, Andrew B. Suzman, Justin Toner and Shannon Ward, as portfolio managers, have voting or investment control over the shares held by The Income Fund of America. The address of American Funds Insurance Series – Capital World Bond Fund, American High-Income Trust and American Funds Insurance Series – American High-Income Trust is 333 South Hope, 55th Floor, Los Angeles, CA 90071-1406. The address of American Funds Multi-Sector Income Fund, The Income Fund of America and Capital Group U.S. High-Yield Trust (US) is 6455 Irvine Center Drive, Irvine, CA 92618.</w:t>
      </w:r>
    </w:p>
    <w:p>
      <w:pPr>
        <w:spacing w:after="0" w:line="6"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of the Company.</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 of the Company.</w:t>
      </w:r>
    </w:p>
    <w:p>
      <w:pPr>
        <w:spacing w:after="0" w:line="14" w:lineRule="exact"/>
        <w:rPr>
          <w:rFonts w:ascii="Times New Roman" w:cs="Times New Roman" w:eastAsia="Times New Roman" w:hAnsi="Times New Roman"/>
          <w:sz w:val="14"/>
          <w:szCs w:val="14"/>
          <w:color w:val="auto"/>
        </w:rPr>
      </w:pPr>
    </w:p>
    <w:p>
      <w:pPr>
        <w:ind w:left="332" w:hanging="332"/>
        <w:spacing w:after="0" w:line="258" w:lineRule="auto"/>
        <w:tabs>
          <w:tab w:leader="none" w:pos="32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994,249 shares held by CF TLNE LP and (ii) 1,819,403 shares held by CF TLNE 2023 LP. Interests in CF TLNE LP are owned by each of CF TLNE Offshore Holdings L.P., DBO TLNE Ltd., a Cayman Islands exempted company, Fortress Credit Opportunities Fund V (A) L.P., a Cayman Islands exempted limited partnership (“Fund A”), Fortress Credit Opportunities Fund V (B) L.P., a Cayman Islands exempted limited partnership (“Fund B”), Fortress Credit Opportunities Fund V (E) LP, a Delaware limited partnership (“Fund E”), Drawbridge Special Opportunities Fund LP, a Delaware limited partnership, FCO MA Centre Street II (ER) LP, a Delaware limited partnership, FCO MA Centre Street II (PF) LP, a Delaware limited partnership, FCO MA Centre Street II (TR) LP, a Delaware limited partnership, FCO MA MI II L.P., a Cayman Islands exempted limited partnership, FCO MA V UB Securities LLC, a Delaware limited liability company, and FCO V LSS SubCo LP, a Delaware limited partnership, as the members (the “CF TLNE Members”). The general partner of CF TLNE LP is CF TLNE GP LLC, a Delaware limited liability company. CF TLNE GP LLC is owned by the CF TLNE Members. CF TLNE Offshore Holdings L.P., is owned by Fortress Credit Opportunities Fund V (C) L.P., a Cayman Islands exempted limited partnership (“Fund C”), Fortress Credit Opportunities Fund V (D) L.P., a Cayman Islands exempted limited partnership (“Fund D”), Fortress Credit Opportunities Fund V (G) L.P., a Cayman Islands exempted limited partnership (“Fund G”, and together with Fund A, Fund B, Fund C, Fund D and Fund E, collectively, the “FCO V Funds”), FTS SIP II L.P., a Jersey limited partnership, FCO MA J5 L.P., a Cayman Islands exempted limited partnership, and Super FCO MA III L.P., a Cayman Islands exempted limited partnership, as the partners. FCO V Fund GP LLC, a Delaware limited liability company is the general partner of each of the FCO V Funds. Fortress Credit Opportunities V-C Advisors LLC, a Delaware limited liability company, is the investment manager of Fortress Credit Opportunities Fund V (C) L.P. and Fortress Credit Opportunities V Advisors LLC, a Delaware limited liability company, is the investment manager of each other FCO V Fund. The general partner of each of the FCO V Funds is FCO Fund V GP LLC. Hybrid GP Holdings (Cayman) LLC, a Cayman Islands limited liability company (“Hybrid Cayman”), is the owner of all of the issued and outstanding interests of FCO Fund V GP LLC. Hybrid GP Holdings LLC, a Delaware limited liability company (“Hybrid Holdings”), is the owner of all of the issued and outstanding interests of Hybrid GP Holdings (Cayman) LLC. Fortress Operating Entity I LP, a Delaware limited partnership (“FOE I”), is the managing member of Hybrid Holdings. FIG Corp., a Delaware corporation (“FIG Corp.”), is the general partner of FOE I. Fortress Investment Group LLC, a Delaware limited liability company, is the holder of all of the issued and outstanding shares of FIG Corp. FCO BT GP LLC, a Delaware limited liability company, is the general partner of FTS SIP II L.P. The owner of all of the issued and outstanding interests of FCO BT GP LLC is Hybrid GP Holdings. Fortress Credit Opportunities MA Advisors LLC is the investment manager of FTS SIP II L.P. FCO Fund V GP LLC is the general partner of FCO MA J5 L.P. FCO MA JS Advisors LLC is the investment manager of FCO MA J5 L.P. FCO MA SUP GP III LLC is the general partner of Super FCO MA III L.P. Hybrid Cayman is the owner of all of the issued and outstanding interests of FCO MA SUP GP III LLC. FCO MA Sup Advisors LLC is the investment manager of FCO MA SUP GP III LLC. DBO TLNE Ltd., is owned by Drawbridge Special Opportunities Fund Ltd., a Cayman Islands exempted company. Drawbridge Special Opportunities Intermediate Fund L.P., a Cayman islands exempted limited partnership, is the owner of all of the issued and outstanding interests of Drawbridge Special Opportunities Fund Ltd. Drawbridge Special Opportunities Offshore Fund Ltd., a Cayman Islands exempted company, is the owner of all of the issued and outstanding interests of Drawbridge Special Opportunities Intermediate Fund L.P. Drawbridge Special Opportunities Offshore GP LLC, a Delaware limited liability company is the general partner of Drawbridge Special Opportunities Intermediate Fund L.P. FOE I LP is the owner of all of the issued and outstanding membership interests in Drawbridge Special Opportunities Offshore GP LLC. Drawbridge Special Opportunities Advisors LLC (“DBSO Advisors”), is the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32"/>
          </w:cols>
          <w:pgMar w:left="328" w:top="12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4"/>
          <w:szCs w:val="14"/>
          <w:color w:val="auto"/>
        </w:rPr>
        <w:t>of Drawbridge Special Opportunities Offshore Fund Ltd., Drawbridge Special Opportunities Intermediate Fund L.P., and Drawbridge Special Opportunities Fund Ltd. Drawbridge Special Opportunities Fund GP LLC is the General Partner of Drawbridge Special Opportunities Fund LP. Fortress Principal Investment Holdings IV LLC, a Delaware limited liability company, is the managing member of Drawbridge Special Opportunities Fund GP LLC. FOE I is the owner of all of the issued and outstanding membership interests in Fortress Principal Investment Holdings IV LLC. DBSO Advisors LLC is the investment manager to Drawbridge Special Opportunities Fund LP. FCO MA Centre II GP LLC, a Delaware limited liability company, is the general partner of, and FCO MA Centre II Advisors LLC, a Delaware limited liability company, is the investment manager of, each of FCO MA Centre Street (ER) LP, FCO MA Centre Street II (PF) LP and FCO MA Centre Street II (TR) LP. Hybrid Holdings is the owner of all of the issued and outstanding interests of FCO MA Centre II GP LLC. FCO MA MI II GP LLC, a Delaware limited liability company, is the general partner of FCO MA MI II L.P. Hybrid Holdings is the owner of all of the issued and outstanding interests of FCO MA MI II GP LLC. Fortress Credit Opportunities MA II Advisor LLC is the investment manager of FCO MA MI II L.P. FCO MA V UB Securities LLC, a Delaware limited liability company, is owned by FCO MA V L.P., a Cayman Islands exempted limited partnership. The general partner of FCO MA V L.P. is FCO MA V GP LLC, a Delaware limited liability company. Hybrid Cayman is the owner of all of the issued and outstanding interests of FCO MA V GP LLC. FCO MA V Advisors LLC, a Delaware limited liability company, is the investment manager of FCO MA V L.P. FCO V LSS SubCo GP LLC, a Delaware limited liability company, is the general partner of FCO V LSS SUBCO LP. Hybrid Holdings is the owner of all of the issued and outstanding interests of FCO V LSS SubCo GP LLC. FCO V LSS SubCo Advisors LLC, a Delaware limited liability company, is the investment manager of FCO V LSS SubCo LP. FIG LLC, a Delaware limited liability company, is the holder of all of the issued and outstanding interests of each of the investment managers listed above. The Selling Stockholder holds and beneficially owns all of the shares of common stock, and on the basis of the relationships described herein, each of the other foregoing persons may be deemed to beneficially own the shares of common stock held by the Selling Stockholder. As the Co-Chief Investment Officers of the Selling Stockholder (through advisory and general partner entities) each of Peter L. Briger, Jr., Dean Dakolias, Andrew A. McKnight and Joshua Pack participates in the voting and investment decisions with respect to the shares of common stock held by the Selling Stockholder, but each of them disclaims beneficial ownership thereof. The address of each of CF TLNE LP and CF TLNE 2023 LP is Corporation Trust Center, 1209 Orange Street, Wilmington, DE 19801. Each of CF TLNE LP and CF TLNE 2023 LP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68" w:lineRule="exact"/>
        <w:rPr>
          <w:sz w:val="20"/>
          <w:szCs w:val="20"/>
          <w:color w:val="auto"/>
        </w:rPr>
      </w:pPr>
    </w:p>
    <w:p>
      <w:pPr>
        <w:ind w:left="340" w:hanging="332"/>
        <w:spacing w:after="0" w:line="257"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1,299,802 shares held by Sachem Head LP, (ii) 745,198 shares held by Sachem Head Master LP and (iii) 395,000 shares held by SH Stony Creek Master Ltd. (collectively, the “Sachem Head Funds”). Sachem Head Capital Management LP (“SHCM”), as the investment adviser to the Sachem Head Funds, may be deemed to have the shared power to vote or direct the vote of (and the shared power to dispose or direct the disposition of) the shares of common stock held by the Sachem Head Funds. As the general partner of SHCM, Uncas GP LLC (“Uncas”) may be deemed to have the shared power to vote or direct the vote of (and the shared power to dispose or direct the disposition of) the shares of common stock held by the Sachem Head Funds. As the general partner of Sachem Head LP and Sachem Head Master LP, Sachem Head GP LLC (“Sachem Head GP”) may be deemed to have the shared power to vote or to direct the vote of (and the shared power to dispose or direct the disposition of) the shares of common stock held by Sachem Head LP and Sachem Head Master LP. As the manager of SH Stony Creek Master Ltd., SH Stony Creek GP LLC (“Stony Creek GP”) may be deemed to have the shared power to vote or to direct the vote of (and the shared power to dispose or direct the disposition of) the shares of common stock held by SH Stony Creek Master Ltd. By virtue of Scott D. Ferguson’s position as the managing partner of SHCM and the managing member of Uncas, Sachem Head GP, and Stony Creek GP, Scott D. Ferguson may be deemed to have the shared power to vote or direct the vote of (and the shared power to dispose or direct the disposition of) the shares of common stock held by the Sachem Head Funds. The business address of each of the Sachem Head Funds is c/o Sachem Head Capital Management LP, 250 West 55th Street, 34th Floor, New York, NY 10019.</w:t>
      </w:r>
    </w:p>
    <w:p>
      <w:pPr>
        <w:spacing w:after="0" w:line="7" w:lineRule="exact"/>
        <w:rPr>
          <w:rFonts w:ascii="Times New Roman" w:cs="Times New Roman" w:eastAsia="Times New Roman" w:hAnsi="Times New Roman"/>
          <w:sz w:val="14"/>
          <w:szCs w:val="14"/>
          <w:color w:val="auto"/>
        </w:rPr>
      </w:pPr>
    </w:p>
    <w:p>
      <w:pPr>
        <w:ind w:left="340" w:right="20" w:hanging="332"/>
        <w:spacing w:after="0" w:line="256" w:lineRule="auto"/>
        <w:tabs>
          <w:tab w:leader="none" w:pos="33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2,376,531 shares held by Citadel Credit Master Fund LLC. Citadel Advisors LLC is the manager of Citadel Credit Master Fund LLC.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Credit Master Fund LLC. This disclosure shall not be construed as an admission that Mr. Griffin or any of the Citadel-related entities listed above is the beneficial owner of any securities of the Company other than the securities actually owned by such person (if any). The business address of Citadel Credit Master Fund LLC is c/o Citadel Enterprise Americas LLC, Southeast Financial Center, 200 S. Biscayne Blvd., Suite 3300, Miami, Florida 33131. Citadel Credit Master Fund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3" w:lineRule="exact"/>
        <w:rPr>
          <w:rFonts w:ascii="Times New Roman" w:cs="Times New Roman" w:eastAsia="Times New Roman" w:hAnsi="Times New Roman"/>
          <w:sz w:val="14"/>
          <w:szCs w:val="14"/>
          <w:color w:val="auto"/>
        </w:rPr>
      </w:pPr>
    </w:p>
    <w:p>
      <w:pPr>
        <w:ind w:left="340" w:hanging="332"/>
        <w:spacing w:after="0" w:line="262" w:lineRule="auto"/>
        <w:tabs>
          <w:tab w:leader="none" w:pos="33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175,382 shares held by Barclays Bank plc, acting as prime broker for CQS ACS Fund, a sub-fund of CQS Global Funds ICAV (“CQS ACS”), the beneficial owner of such shares, (ii) 40,000 shares held by BNP Paribas, acting as prime broker for CQS ACS, the beneficial owner of such shares, (iii) 1,523,608 shares held by Barclays Bank plc, acting as prime broker for CQS Directional Opportunities Master Fund Limited (“CQS Directional”), the beneficial owner of such shares and (iv) 521,653 shares held by Barclays Bank plc, acting as prime broker for BIWA Fund Limited (“BIWA” and, together with CQS ACS and CQS Directional, the “CQS Funds”), the beneficial owner of such shares. Barclays Bank plc and BNP Paribas, as applicable, hold voting and dispositive power over the shares beneficially owned by the CQS Funds. The address of each of the CQS Funds is 1 Churchill Place, London, E14 5HP, United Kingdom.</w:t>
      </w:r>
    </w:p>
    <w:p>
      <w:pPr>
        <w:spacing w:after="0" w:line="160" w:lineRule="exact"/>
        <w:rPr>
          <w:rFonts w:ascii="Times New Roman" w:cs="Times New Roman" w:eastAsia="Times New Roman" w:hAnsi="Times New Roman"/>
          <w:sz w:val="14"/>
          <w:szCs w:val="14"/>
          <w:color w:val="auto"/>
        </w:rPr>
      </w:pPr>
    </w:p>
    <w:p>
      <w:pPr>
        <w:ind w:left="340" w:right="120" w:hanging="332"/>
        <w:spacing w:after="0" w:line="262" w:lineRule="auto"/>
        <w:tabs>
          <w:tab w:leader="none" w:pos="33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2,100,980 shares held by Carronade Capital Master, LP. Carronade Capital Master, LP., a Cayman Islands exempted limited partnership, is managed by Carronade Capital Management, LP, is a registered investment adviser. Carronade Capital Management, LP is a registered investment adviser with the SEC. The general partner of Carronade Capital Management, LP is Carronade Capital Management GP, LLC whose managing member and majority owner is Dan Gropper. Mr. Gropper, as the managing member and majority owner of Carronade Capital Management GP, LLC, may be deemed to have shared power to vote and/or shared power to dispose of the securities held by Carronade Capital Master, LP. The address of Carronade Capital Master, LP is c/o Walkers Corporate Limited, 190 Elgin Avenue, George Town, Grand Cayman KY1-9008,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21" w:right="339" w:bottom="1440" w:gutter="0" w:footer="0" w:header="0"/>
        </w:sectPr>
      </w:pPr>
    </w:p>
    <w:bookmarkStart w:id="147" w:name="page148"/>
    <w:bookmarkEnd w:id="147"/>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hanging="332"/>
        <w:spacing w:after="0" w:line="259"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32,449 shares held by Nuveen All-American Municipal Bond Fund, (ii) 22,007 shares held by Nuveen Enhanced High Yield Municipal Bond Fund, (iii) 83,051 shares held by Nuveen High Yield Municipal Opportunities Fund LP, (iv) 19,613 shares held by Nuveen Dynamic Municipal Opportunities Fund, (v) 1,330,343 shares held by Nuveen High Yield Municipal Bond Fund, (vi) 94,500 shares held by Nuveen Municipal Credit Opportunities Fund, (vii) 100,100 shares held by Nuveen Short Duration High Yield Municipal Bond Fund, (viii) 12,994 shares held by Nuveen Strategic Municipal Opportunities Fund, (ix) 1,116 shares held by Nuveen AMT-Free Municipal Value Fund, (x) 140,133 shares held by Nuveen AMT-Free Municipal Credit Income Fund, (xi) 654 shares held by SPDR Nuveen Bloomberg High Yield Municipal Bond ETF, (xii) 2,350 shares held by Nuveen Municipal High Income Opportunity Fund, (xiii) 716 shares held by Nuveen Pennsylvania Quality Municipal Income Fund, (xiv) 4,154 shares held by Nuveen Municipal Credit Income Fund and (xv) 87 shares held by Aspiriant Risk-Managed Municipal Bond Fund Muni Sleeve (collectively, the “Nuveen Funds”). Nuveen Asset Management, LLC is the registered investment adviser to the Nuveen Funds that own the shares of common stock being registered hereby, and may be deemed to be a beneficial owners of the shares of common stock owned separately by the Nuveen Funds. The business address of each of the Nuveen Funds is c/o Nuveen Asset Management LLC, 333. W. Wacker Drive, Chicago, IL 60606.</w:t>
      </w:r>
    </w:p>
    <w:p>
      <w:pPr>
        <w:spacing w:after="0" w:line="1" w:lineRule="exact"/>
        <w:rPr>
          <w:rFonts w:ascii="Times New Roman" w:cs="Times New Roman" w:eastAsia="Times New Roman" w:hAnsi="Times New Roman"/>
          <w:sz w:val="14"/>
          <w:szCs w:val="14"/>
          <w:color w:val="auto"/>
        </w:rPr>
      </w:pPr>
    </w:p>
    <w:p>
      <w:pPr>
        <w:ind w:left="332" w:right="80" w:hanging="332"/>
        <w:spacing w:after="0" w:line="258"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1,379,555 shares held by Parsifal Master Fund Ltd. and (ii) 10,468 shares of common stock held by Parsifal Co-Invest I, LP. Parsifal Capital Management, LP is the manager of each of Parsifal Master Fund Ltd. and Parsifal Co-Invest I, LP. Parsifal Capital Management, LP is controlled Parsifal Capital Management GP, LLC, its general partner. Parsifal Capital Management GP, LLC is controlled by David Zorub, its managing member. Each of Parsifal Master Fund Ltd., Parsifal Co-Invest I, LP, Parsifal Capital Management, LP and Parsifal Capital Management GP, LLC (collectively, the “Parsifal Entities”) and Mr. Zorub may be deemed to share beneficial ownership of the securities reported herein, but each disclaims any such beneficial ownership of securities not held of record by them, except to the extent each has pecuniary interest therein. Also includes 326,715 shares of common stock held by an account managed by Parsifal Capital Management, LP with respect to which the Parsifal Entities and Mr. Zorub may be deemed to have shared voting or dispositive power with the owner of such account. The address of each Parsifal Entity and Mr. Zorub is c/o Parsifal Capital Management, LP, One Fawcett Place, Suite 130, Greenwich, CT 06830.</w:t>
      </w:r>
    </w:p>
    <w:p>
      <w:pPr>
        <w:spacing w:after="0" w:line="3" w:lineRule="exact"/>
        <w:rPr>
          <w:rFonts w:ascii="Times New Roman" w:cs="Times New Roman" w:eastAsia="Times New Roman" w:hAnsi="Times New Roman"/>
          <w:sz w:val="14"/>
          <w:szCs w:val="14"/>
          <w:color w:val="auto"/>
        </w:rPr>
      </w:pPr>
    </w:p>
    <w:p>
      <w:pPr>
        <w:ind w:left="332" w:right="120" w:hanging="332"/>
        <w:spacing w:after="0" w:line="258"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1,455,108 shares held by Two Seas Global (Master) Fund LP. Two Seas Global (Master) Fund LP (the “Two Seas Fund”) has delegated to Two Seas Capital LP (“TSC”) sole voting and investment power over the securities held by the Two Seas Fund pursuant to its Investment Management Agreement with TSC. As a result, each of TSC, Two Seas Capital GP LLC (“TSC GP”), as the general partner of TSC, and Mr. Sina Toussi, as Chief Investment Officer of TSC and Managing Member of TSC GP, may be deemed to exercise voting and investment power over the securities directly held by the Two Seas Fund. The Two Seas Fund specifically disclaims beneficial ownership of the securities directly held by it by virtue of its inability to vote or dispose of such securities as a result of its Investment Management Agreement with TSC. The address of the Two Seas Fund is c/o Two Seas Capital LP, 32 Elm Place, 3rd Floor, Rye, NY 10580.</w:t>
      </w:r>
    </w:p>
    <w:p>
      <w:pPr>
        <w:spacing w:after="0" w:line="1"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554,604 shares held by PSAM WorldArb Master Fund Ltd, (ii) 52,054 shares held by Rebound Portfolio Ltd, (iii) 24,467 shares held by FASF-K2 Alternative Strategies Fund-Master, (iv) 130,881 shares held by Lumyna Specialist Funds - PSAM Credit Opportunities Fund, (v) 25,752 shares held by FTIF Franklin K2 Alternative Strategies Fund, (vi) 370,701 shares held by Lumyna Funds - Lumyna - PSAM Global Event UCITS Fund, (vii) 133,637 shares held by K2 PSAM Event Master Fund Ltd and (viii) 14,094 shares held by Lumyna Specialist Funds - Event Alternative Fund (collectively, the “PSAM Funds”). P. Schoenfeld Asset Management LP (“PSAM”), is the investment manager, sub-investment manager, or sub-adviser of each of the PSAM Funds. Peter Schoenfeld is the CEO of PSAM. PSAM and Peter Schoenfeld have voting and investment power over the shares held directly by the PSAM Funds. Each of PSAM and Peter Schoenfeld disclaim beneficial ownership of the securities reported herein except to the extent of their pecuniary interest therein. The address of each of PSAM WorldArb Master Fund Ltd, Rebound Portfolio Ltd, Lumyna Specialist Funds - PSAM Credit Opportunities Fund, Lumyna Funds - Lumyna - PSAM Global Event UCITS Fund, K2 PSAM Event Master Fund Ltd and Lumyna Specialist Funds - Event Alternative Fund is c/o P. Schoenfeld Asset Management LP, 1350 Avenue of the Americas, 21st Floor, New York, NY 10019. The address of FASF-K2 Alternative Strategies Fund-Master and FTIF Franklin K2 Alternative Strategies Fund is 300 Atlantic Street, 12th Floor, Stamford, CT 06901.</w:t>
      </w:r>
    </w:p>
    <w:p>
      <w:pPr>
        <w:spacing w:after="0" w:line="1"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759,636 shares held by Glendon Opportunities Fund II, L.P. and (ii) 521,075 shares held by Glendon Opportunities Fund III, L.P. (collectively, the “Glendon Funds”). Glendon Capital Management L.P. (“GCM”) serves as the investment manager for the Glendon Funds and thus may be deemed to beneficially own the shares of common stock identified above. Mr. Brian Berman is a partner of GCM and has been delegated authority by GCM to direct the voting and disposition of the shares of common stock identified above, and thus is deemed to share voting power for the shares beneficially owned by GCM and the Glendon Funds. The address of each of the Glendon Funds is 2425 Olympic Blvd, Suite 500E, Santa Monica, CA 90404.</w:t>
      </w:r>
    </w:p>
    <w:p>
      <w:pPr>
        <w:spacing w:after="0" w:line="158" w:lineRule="exact"/>
        <w:rPr>
          <w:rFonts w:ascii="Times New Roman" w:cs="Times New Roman" w:eastAsia="Times New Roman" w:hAnsi="Times New Roman"/>
          <w:sz w:val="14"/>
          <w:szCs w:val="14"/>
          <w:color w:val="auto"/>
        </w:rPr>
      </w:pPr>
    </w:p>
    <w:p>
      <w:pPr>
        <w:ind w:left="332" w:right="80" w:hanging="332"/>
        <w:spacing w:after="0" w:line="256"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841,980 shares held by RIT Capital Partners plc. RIT Capital Partners PLC has delegated investment management to J. Rothschild Capital Management Limited, a private limited company, incorporated in England and Wales with company number 02201053, which is regulated in the United Kingdom by the Financial Conduct Authority. J. Rothschild Capital Management Limited may be deemed to share beneficial ownership of the shares of common stock reported herein, but disclaims any such beneficial ownership of shares of common stock not held of record by it, except to the extent it has pecuniary interest therein. The address of RIT Capital Partners plc is Spencer House, 27 St. James’s Place, London, SW1A 1NR.</w:t>
      </w:r>
    </w:p>
    <w:p>
      <w:pPr>
        <w:spacing w:after="0" w:line="1"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521,185 shares held by Lord Abbett Bond Debenture Fund, (ii) 278,100 shares held by Lord Abbett Investment Trust - Lord Abbett High Yield Fund, (iii) 20,091 shares held by Lord Abbett Series Fund - Bond Debenture Portfolio, (iv) 3,895 shares held by Lord Abbett Trust I - Lord Abbett Short Duration High Yield Fund, (v) 2,673 shares held by Lord Abbett Global Funds I plc - Lord Abbett Global High Yield Fund and (vi) 134,266 shares held by Lord Abbett Global Funds I plc - Lord Abbett High Yield Fund (collectively, the “Lord Abbett Funds”). The Lord Abbett Funds are managed by Lord Abbett &amp; Co. LLC as investment advisor. Lord Abbett &amp; Co. LLC may be deemed to share beneficial ownership of the shares of common stock reported herein, but disclaims any such beneficial ownership of shares of common stock not held of record by it, except to the extent it has pecuniary interest therein. The address of each of Lord Abbett Bond Debenture Fund, Lord Abbett Investment Trust - Lord Abbett High Yield Fund, Lord Abbett Series Fund - Bond Debenture Portfolio and Lord Abbett Trust I - Lord Abbett Short Duration High Yield Fund is 90 Hudson Street, Jersey City, NJ 07302. The address of Lord Abbett Global Funds I plc - Lord Abbett Global High Yield Fund and Lord Abbett Global Funds I plc - Lord Abbett High Yield Fund is 30 Herbert Street, Dublin D02 W329, Ireland.</w:t>
      </w:r>
    </w:p>
    <w:p>
      <w:pPr>
        <w:spacing w:after="0" w:line="3" w:lineRule="exact"/>
        <w:rPr>
          <w:rFonts w:ascii="Times New Roman" w:cs="Times New Roman" w:eastAsia="Times New Roman" w:hAnsi="Times New Roman"/>
          <w:sz w:val="14"/>
          <w:szCs w:val="14"/>
          <w:color w:val="auto"/>
        </w:rPr>
      </w:pPr>
    </w:p>
    <w:p>
      <w:pPr>
        <w:ind w:left="332" w:right="260" w:hanging="332"/>
        <w:spacing w:after="0" w:line="283"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50,516 shares held by Franklin Universal Trust, (ii) 556,650 shares held by Franklin High Income Trust-Franklin High Income Fund, (iii) 192,342 shares held by Franklin Templeton Investment Funds-Franklin High Yield Fund, (iv) 54,555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32"/>
          </w:cols>
          <w:pgMar w:left="328" w:top="121" w:right="339" w:bottom="1440" w:gutter="0" w:footer="0" w:header="0"/>
        </w:sectPr>
      </w:pPr>
    </w:p>
    <w:bookmarkStart w:id="148" w:name="page149"/>
    <w:bookmarkEnd w:id="148"/>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40"/>
        <w:spacing w:after="0" w:line="259" w:lineRule="auto"/>
        <w:rPr>
          <w:sz w:val="20"/>
          <w:szCs w:val="20"/>
          <w:color w:val="auto"/>
        </w:rPr>
      </w:pPr>
      <w:r>
        <w:rPr>
          <w:rFonts w:ascii="Times New Roman" w:cs="Times New Roman" w:eastAsia="Times New Roman" w:hAnsi="Times New Roman"/>
          <w:sz w:val="14"/>
          <w:szCs w:val="14"/>
          <w:color w:val="auto"/>
        </w:rPr>
        <w:t>Franklin Limited Duration Income Trust, (v) 3,710 shares held by The Shared Risk Plan for CUPE Employees of New Brunswick Hospitals and (vi) 31,035 shares held by Franklin Templeton ETF Trust-Franklin High Yield Corporate ETF (collectively, the “Franklin Funds”). The securities are beneficially owned by the Franklin Funds that are investment management clients of Franklin Advisers, Inc. (“FAV”) which is a subsidiary of Franklin Resources Inc. (“FRI”). FRI has delegated to FAV investment discretion or voting power over the securities listed, and FRI treats FAV as having sole investment discretion or voting authority, as the case may be, unless the agreement specifies otherwise. Accordingly, FAV reports on filings with the SEC (“SEC filings”), including on Schedule 13G that it has sole investment discretion and voting authority over the securities covered by any such investment management agreement, unless otherwise noted. As a result, for purposes of Rule 13d-3 under the Securities Act, FAV may be deemed to be the beneficial owners of the securities reported in such SEC filings. The address of each of the Franklin Funds is c/o Franklin Advisers, Inc., One Franklin Parkway, San Mateo, CA 94403. Each of the Franklin Funds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2" w:lineRule="exact"/>
        <w:rPr>
          <w:sz w:val="20"/>
          <w:szCs w:val="20"/>
          <w:color w:val="auto"/>
        </w:rPr>
      </w:pPr>
    </w:p>
    <w:p>
      <w:pPr>
        <w:ind w:left="332"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389,539 shares held of record by Raven Power Holdings LLC, 145,577 shares held of record by Riverstone V Coin Holdings, L.P., 48,804 shares held of record by Sapphire Power Holdings LLC and 249,781 shares held of record by C/R Energy Jade, LLC. Pierre F. Lapeyre, Jr. and David M. Leuschen are the managing directors of Riverstone Management Group, L.L.C., which is the general partner of Riverstone/Gower Mgmt Co Holdings, L.P., which is the sole member of Riverstone Holdings LLC, which is the sole shareholder of Riverstone Energy GP V Corp., which is the sole member of Riverstone Energy GP V, LLC, which is the general partner of Riverstone Energy Partners V, L.P., which is the general partner of Riverstone V Raven Holdings, L.P., which is the managing member of Raven Power Holdings LLC. As a result of these relationships, each of these entities and individuals may be deemed to share beneficial ownership of the securities held of record by Raven Power Holdings LLC. Riverstone Energy Partners V, L.P. is also the general partner of Riverstone V Coin Holdings, L.P. As a result of these relationships, David M. Leuschen, Pierre F. Lapeyre, Jr., Riverstone Management Group, L.L.C., Riverstone/Gower Mgmt Co Holdings, L.P., Riverstone Holdings LLC, Riverstone GP V Corp., Riverstone Energy GP V, LLC and Riverstone Energy Partners V, L.P. may be deemed to share beneficial ownership of the securities held of record by Riverstone V Coin Holdings, L.P. Riverstone Holdings LLC is also the sole member of R/C Renewable Energy GP II, L.L.C., which is the general partner of Riverstone/Carlyle Renewable Energy Partners II, L.P., which is the general partner of R/C Sapphire Power IP, L.P., which is the managing member of Sapphire Power Holdings LLC. As a result of these relationships, each of these entities, Pierre F. Lapeyre, Jr., David M. Leuschen, Riverstone Management Group, L.L.C. and Riverstone/Gower Mgmt Co Holdings, L.P. may be deemed to share beneficial ownership of the securities held of record by Sapphire Power Holdings LLC. Riverstone Holdings LLC is also the sole member of Riverstone Investment Group LLC, which is a member with voting rights to appoint members of the managing committee of C/R Energy GP III, LLC, which is the general partner of Carlyle/Riverstone Energy Partners III, L.P., which is the general partner of Carlyle/Riverstone Global Energy and Power Fund III, L.P., which is the controlling member of C/R Energy Jade LLC. As a result of these relationships, each of these entities, Pierre F. Lapeyre, Jr., David M. Leuschen, Riverstone Management Group, L.L.C. and Riverstone/Gower Mgmt Co Holdings, L.P. may be deemed to share beneficial ownership of the securities held of record by C/R Energy Jade,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sole member of TC Group-Energy LLC, which is also a member with voting rights to appoint members of the managing committee of C/R Energy GP III, LLC. As a result of these relationships, each of these entities may be deemed to share beneficial ownership of the securities held of record by C/R Energy Jade LLC. The address for The Carlyle Group Inc., Carlyle Holdings I GP Inc., Carlyle Holdings I GP Sub L.L.C., Carlyle Holdings I L.P., CG Subsidiary Holdings L.L.C., TC Group, L.L.C., TC Group Sub L.P. and TC Group-Energy LLC is c/o The Carlyle Group, 1001 Pennsylvania Avenue, NW, Suite 220 South, Washington, D.C. 20004. The address for each of the other entities and individuals named in this footnote is c/o Riverstone Holdings LLC, 712 Fifth Avenue, 36th Floor, New York, NY 10019. Each of the Raven Power Holdings LLC, Riverstone V Coin Holdings, L.P., Sapphire Power Holdings LLC and C/R Energy Jade,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0"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820,120 shares held by Atalan Master fund, LP (“AMF”). Atalan Capital Partners, LP (“ACP”), is the investment manager of AMF. Atalan Capital Partners (GP), LLC (“ACPGP”) is the general partner of ACP. Atalan GP, LLC’s (“AGP”) the general partner of AMF. David R. Thomas is the managing member of ACPGP and AGP and may be deemed to have sole voting and investment power with respect to these shares of common stock. AMF disclaims beneficial ownership of these shares of common stock. The address of each of AMF, ACP, ACPGP, AGP and Mr. Thomas is 140 East 45th Street, 17th Floor, New York, NY 10017.</w:t>
      </w:r>
    </w:p>
    <w:p>
      <w:pPr>
        <w:spacing w:after="0" w:line="1"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814,929 shares held by SteelMill Master Fund LP (“SteelMill”). PointState Holdings LLC (“PointState Holdings”) serves as the general partner of SteelMill. PointState Capital LP (“PointState”) serves as the investment manager to SteelMill. PointState Capital GP LLC (“PointState GP”), which serves as the general partner of PointState. Zachary J. Schreiber serves as the managing member of PointState Holdings and PointState GP. Each of PointState GP and Mr. Schreiber may be deemed to have shared power to vote and/or shared power to dispose of the securities held by SteelMill. The address of SteelMill is Buckingham Square, 2nd Floor, 720A West Bay Road, Grand Cayman KY1-1001, Cayman Islands.</w:t>
      </w:r>
    </w:p>
    <w:p>
      <w:pPr>
        <w:spacing w:after="0" w:line="2" w:lineRule="exact"/>
        <w:rPr>
          <w:rFonts w:ascii="Times New Roman" w:cs="Times New Roman" w:eastAsia="Times New Roman" w:hAnsi="Times New Roman"/>
          <w:sz w:val="14"/>
          <w:szCs w:val="14"/>
          <w:color w:val="auto"/>
        </w:rPr>
      </w:pPr>
    </w:p>
    <w:p>
      <w:pPr>
        <w:ind w:left="332" w:right="20" w:hanging="332"/>
        <w:spacing w:after="0" w:line="261"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154,744 shares held by Sculptor Credit Opportunities Master Fund, Ltd., (ii) 138,381 shares held by Sculptor SC II, LP and (iii) 477783 shares held by Sculptor Master Fund, Ltd. Sculptor SC II, LP is a Delaware limited partnership (“SCSC”). Sculptor Capital II LP (“Sculptor II”), a Delaware limited partnership, is the investment manager to SCSC. Sculptor Capital Holding II LLC (“SCHCII”), a Delaware limited liability company, serves as the general partner of Sculptor II. Sculptor Capital LP (“Sculptor”), a Delaware limited partnership, is the sole member of SCHCII. Sculptor Capital Holding Corporation (“SCHC”), a Delaware corporation, serves as the general partner of Sculptor. Sculptor Capital Management, Inc. (“SCU”), a Delaware limited liability company that is publicly traded on the New York Stock Exchange (NYSE: SCU), is a holding company that is the sole shareholder of SCHC and the ultimate parent company of Sculptor. Accordingly, Sculptor II, SCHCII, Sculptor, SCHC and SCU, may be deemed to be beneficial owners of SCSC. The address of each of SCSC, SCHCII, SCHC and SCU is 9 West. 57th Street, 40th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12"/>
          </w:cols>
          <w:pgMar w:left="328" w:top="121" w:right="359" w:bottom="1440" w:gutter="0" w:footer="0" w:header="0"/>
        </w:sectPr>
      </w:pPr>
    </w:p>
    <w:bookmarkStart w:id="149" w:name="page150"/>
    <w:bookmarkEnd w:id="149"/>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00" w:hanging="332"/>
        <w:spacing w:after="0" w:line="261"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463,232 shares held by Yost Partners, L.P., (ii) 174,737 shares held by Yost SPV I, L.P. and (iii) 68,000 shares held by Yost Focused Long Fund, L.P. (collectively, the “Yost Funds”). Tomcat Management, L.P., a Texas limited partnership (“Tomcat Management”), serves as the general partner of Yost Partners, L.P. (“Yost Partners”). Tomcat Advisors, L.L.C., a Texas limited partnership (“Yost Management”), serves as the investment manager of Yost Partners. Tomcat Advisors serves as the general partner of Yost Management. Carson Yost is the Manager of Tomcat Advisors. Tomcat Management, Tomcat Advisors, Yost Management and Carson Yost may each be deemed to have beneficial ownership of shares held by the Yost Funds and each disclaims beneficial ownership of these shares except to the extent of any pecuniary interest therein. The address of each of the Yost Funds is 2800 W. Lancaster Avenue, Forth Worth, TX 76107.</w:t>
      </w:r>
    </w:p>
    <w:p>
      <w:pPr>
        <w:spacing w:after="0" w:line="1" w:lineRule="exact"/>
        <w:rPr>
          <w:rFonts w:ascii="Times New Roman" w:cs="Times New Roman" w:eastAsia="Times New Roman" w:hAnsi="Times New Roman"/>
          <w:sz w:val="14"/>
          <w:szCs w:val="14"/>
          <w:color w:val="auto"/>
        </w:rPr>
      </w:pPr>
    </w:p>
    <w:p>
      <w:pPr>
        <w:ind w:left="332" w:hanging="332"/>
        <w:spacing w:after="0" w:line="259"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570,326 shares held by Oaktree Value Opportunities Fund Holdings, L.P. (“Oaktree Value Opportunities Fund Holdings”) and (ii) 73,502 shares held by Oaktree Phoenix Investment Fund, L.P. (“Oaktree Phoenix”). These shares of common stock being registered herein are beneficially owned by (i) Oaktree Value Opportunities Fund Holdings, as a result of its direct ownership of 570,326 shares of common stock, (ii) Oaktree Phoenix, as a result of its direct ownership of 73,502 shares of common stock, (iii) Oaktree Value Opportunities Fund GP, L.P. (“Oaktree Value Opportunities Fund GP LP”), solely in its capacity as the general partner of Oaktree Value Opportunities Fund Holdings, (iv) Oaktree Value Opportunities Fund GP Ltd. (“Oaktree Value Opportunities Fund GP”), solely in its capacity as the general partner of Oaktree Value Opportunities Fund Holdings GP LP, (v) Oaktree Phoenix Investment Fund GP, L.P. (“Oaktree Phoenix GP LP”), solely in its capacity as the general partner of Oaktree Phoenix, (vi) Oaktree Phoenix Investment Fund GP Ltd. (“Oaktree Phoenix GP”), solely in its capacity as the general partner of Oaktree Phoenix GP LP, and (vii) Oaktree Capital Management, L.P., solely in its capacity as the director of Oaktree Value Opportunities Fund GP and as the director of Oaktree Phoenix GP. The address of each of the foregoing is 333 South Grand Avenue, 28th Floor, Los Angeles, CA 90071. Each of Oaktree Value Opportunities Fund Holdings and Oaktree Phoenix may be deemed to be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66" w:lineRule="exact"/>
        <w:rPr>
          <w:rFonts w:ascii="Times New Roman" w:cs="Times New Roman" w:eastAsia="Times New Roman" w:hAnsi="Times New Roman"/>
          <w:sz w:val="14"/>
          <w:szCs w:val="14"/>
          <w:color w:val="auto"/>
        </w:rPr>
      </w:pPr>
    </w:p>
    <w:p>
      <w:pPr>
        <w:ind w:left="332" w:right="80" w:hanging="332"/>
        <w:spacing w:after="0" w:line="263"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150,277 shares held by Blackwell Partners LLC - Series A, (ii) 146,281 shares held by Cassini Partners, L.P., (iii) 231,242 Philosophy Capital Partners, LP and (iv) 78,620 shares held by Star V Partners, LLC (collectively, the “Philosophy Funds”). Philosophy Capital Management LLC is the general partner and investment adviser of private investment funds and the investment adviser to the Philosophy Funds and may be deemed to share beneficial ownership of the securities reported herein, but disclaims any such beneficial ownership of the securities not held of record by it, except to the extent it has a pecuniary interest therein. The address of each of the Philosophy Funds is 3201 Danville Boulevard, Suite 100, Alamo, CA 94507.</w:t>
      </w:r>
    </w:p>
    <w:p>
      <w:pPr>
        <w:spacing w:after="0" w:line="158" w:lineRule="exact"/>
        <w:rPr>
          <w:rFonts w:ascii="Times New Roman" w:cs="Times New Roman" w:eastAsia="Times New Roman" w:hAnsi="Times New Roman"/>
          <w:sz w:val="14"/>
          <w:szCs w:val="14"/>
          <w:color w:val="auto"/>
        </w:rPr>
      </w:pPr>
    </w:p>
    <w:p>
      <w:pPr>
        <w:ind w:left="332" w:right="20" w:hanging="332"/>
        <w:spacing w:after="0" w:line="255"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8,248 shares held by LMA SPC for and on behalf of MAP 98 Segregated Portfolio, (ii) 147,406 shares held by Oceana Master Fund Ltd., (iii) 191,664 shares held by Pentwater Credit Master Fund Ltd and (iv) 193,633 shares held by PWCM Master Fund Ltd (collectively, the “PWCM Funds”). Pentwater Capital Management, LP (“Pentwater Capital”) is the investment advisor to each of the PWCM Funds, Halbower Holdings Inc. (“Halbower Holdings”) is the general partner of Pentwater Capital, and Matthew Halbower is the chief executive officer and sole director of Halbower Holdings Inc. Each of Pentwater Capital, Halbower Holdings and Mr. Halbower may be deemed to share beneficial ownership of the shares of common stock reported herein, but each disclaims any such beneficial ownership of shares of common stock not held of record by them, except to the extent they have a pecuniary interest therein. The business address of each of the PWCM Funds is 190 Elgin Avenue, George Town, Grand Cayman KY1-9008, Cayman Islands.</w:t>
      </w:r>
    </w:p>
    <w:p>
      <w:pPr>
        <w:spacing w:after="0" w:line="2"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408,924 shares held by CastleKnight SPV I LLC (the “CastleKnight Fund”). These shares of the Company’s common stock may be deemed to be beneficially owned by (i) CastleKnight Management LP by virtue of its role as the investment manager of the CastleKnight Fund, (ii) CastleKnight Management GP LLC by virtue of its role as a general partners of CastleKnight Management LP, (iii) Weitman Capital LLC by virtue of its role as a managing member of CastleKnight Management GP LLC and (iv) Aaron Weitman by virtue of his role as managing member of Weitman Capital LLC. Each of the foregoing disclaims beneficial ownership of the shares of common stock of the Company except to the extent of his or its pecuniary interest therein, and this statement shall not be deemed an admission that such reporting person is the beneficial owner of the securities for purposes of Section 16 of the Securities Exchange Act of 1934, as amended, or for any other purpose. The address of the CastleKnight Fund is 888 Seventh Avenue, 24th Floor, New York, NY 10019.</w:t>
      </w:r>
    </w:p>
    <w:p>
      <w:pPr>
        <w:spacing w:after="0" w:line="1"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24,312 shares held by DG Value Partners, LP (“GVP”), (ii) 263,187 shares held by DG Value Partners II Master Fund, LP (“DGVP II”), (iii) 1,783 shares held by Yakar Alternatives LLC (“Yakar”), (iv) 4,216 shares held by Yakar Alternatives CLAT LLC (“Yakar CLAT”), (v) 498 shares held by PPG Hedge Fund Holdings LLC (“PPG”) and (vi) 6,004 shares held by MACYRC LLC (“MACYRC”). DGVP is controlled by DG Capital Partners, LLC (“DG Capital Partners”), its general partner. DGVP II is controlled by DG Capital Partners II, LLC (“DG Capital Partners II”), its general partner. Each of Yakar, Yakar CLAT, PPG and MACYRC is controlled by DG Capital Advisors, LLC (“DG Capital Advisors” and, together with DGVP, DGVP II, Yakar, Yakar CLAT, PPG, MACYRC, DG Capital Partners and DG Capital Partners II, the “DG Capital Entities”), each such entity’s investment manager. Each of DG Capital Partners, DG Capital Partners II and DG Capital Advisors is controlled by Dov Gertzulin, each such entity’s managing member. Each of the DG Capital Entities and Mr. Gertzulin may be deemed to share beneficial ownership of the securities reported herein. The address of each of the DG Capital Entities and Mr. Gertzulin is c/o DG Capital Management, LLC, 460 Park Avenue, 22nd Floor, New York, NY 10022.</w:t>
      </w:r>
    </w:p>
    <w:p>
      <w:pPr>
        <w:spacing w:after="0" w:line="1" w:lineRule="exact"/>
        <w:rPr>
          <w:rFonts w:ascii="Times New Roman" w:cs="Times New Roman" w:eastAsia="Times New Roman" w:hAnsi="Times New Roman"/>
          <w:sz w:val="14"/>
          <w:szCs w:val="14"/>
          <w:color w:val="auto"/>
        </w:rPr>
      </w:pPr>
    </w:p>
    <w:p>
      <w:pPr>
        <w:ind w:left="332" w:hanging="332"/>
        <w:spacing w:after="0" w:line="258"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195,440 shares held by Aristeia Master, L.P. (“Aristeia Master”), (ii) 10,459 shares held by ASIG International Limited (“ASIG”), (iii) 75,968 shares held by Blue Peak Limited (“Blue Peak”), (iv) 7,873 shares held by DS Liquid Div RVA ARST LLC (“DS Liquid”) and (v) 5,260 shares held by Windermere Cayman Fund Limited (“Windermere”). Aristeia Capital, L.L.C. and Aristeia Advisors, L.L.C. (collectively, “Aristeia”) may be deemed the beneficial owners of the securities described herein in their capacity as the investment manager and/or general partner, as the case may be, of Aristeia Master, ASIG, Blue Peak, DS Liquid, and Windermere (each, an “Aristeia Fund” and collectively, the “Aristeia Funds”), which are the holders of such securities, as indicated above. As investment manager and/or general partner of each Aristeia Fund, Aristeia has voting and investment control with respect to the securities held by each Aristeia Fund. Anthony M. Frascella and William R. Techar are the co-Chief Investment Officers of Aristeia. Each of Aristeia and such individuals disclaims beneficial ownership of the securities referenced herein except to the extent of its or his direct or indirect economic interest in the Aristeia Funds. The address of Aristeia and each of the Aristeia Funds is c/o Aristeia Capital, L.L.C., One Greenwich Plaza, Suite 300, Greenwich, CT 06830.</w:t>
      </w:r>
    </w:p>
    <w:p>
      <w:pPr>
        <w:spacing w:after="0" w:line="2" w:lineRule="exact"/>
        <w:rPr>
          <w:rFonts w:ascii="Times New Roman" w:cs="Times New Roman" w:eastAsia="Times New Roman" w:hAnsi="Times New Roman"/>
          <w:sz w:val="14"/>
          <w:szCs w:val="14"/>
          <w:color w:val="auto"/>
        </w:rPr>
      </w:pPr>
    </w:p>
    <w:p>
      <w:pPr>
        <w:ind w:left="332" w:right="260" w:hanging="332"/>
        <w:spacing w:after="0" w:line="283"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172,895 shares held by Purpose Credit Opportunities Fund (“Purpose Credit”) and (ii) 82,849 shares held by Purpose Strategic Yield Fund (“Purpose Strategic”). Purpose Investment Partners Inc. (“Purpose Investment Partners”) is the investment manager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12"/>
          </w:cols>
          <w:pgMar w:left="328" w:top="121" w:right="359" w:bottom="1440" w:gutter="0" w:footer="0" w:header="0"/>
        </w:sectPr>
      </w:pPr>
    </w:p>
    <w:bookmarkStart w:id="150" w:name="page151"/>
    <w:bookmarkEnd w:id="150"/>
    <w:p>
      <w:pPr>
        <w:jc w:val="center"/>
        <w:ind w:right="-11"/>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2" w:right="160"/>
        <w:spacing w:after="0" w:line="261" w:lineRule="auto"/>
        <w:rPr>
          <w:sz w:val="20"/>
          <w:szCs w:val="20"/>
          <w:color w:val="auto"/>
        </w:rPr>
      </w:pPr>
      <w:r>
        <w:rPr>
          <w:rFonts w:ascii="Times New Roman" w:cs="Times New Roman" w:eastAsia="Times New Roman" w:hAnsi="Times New Roman"/>
          <w:sz w:val="14"/>
          <w:szCs w:val="14"/>
          <w:color w:val="auto"/>
        </w:rPr>
        <w:t>Purpose Credit and the sub-advisor to Purpose Strategic. Purpose Investments Inc. (Purpose Investments” and, together with Purpose Investment Partners, the “Purpose Managers”) is the investment manager of Purpose Strategic and the sub-advisor to Purpose Credit. Sandy Liang is the lead portfolio manager of each of Purpose Credit and Purpose Strategic. Each of the Purpose Managers and Mr. Liang may be deemed to share beneficial ownership of the securities reported herein, but each disclaims any such beneficial ownership of securities not held of record by them, except to the extent each has a pecuniary interest therein. The business address of each of Purpose Credit, Purpose Strategic, the Purpose Managers and Mr. Liang is 130 Adelaide St. West, Suite 3100, Toronto, Ontario, Canada.</w:t>
      </w:r>
    </w:p>
    <w:p>
      <w:pPr>
        <w:spacing w:after="0" w:line="1" w:lineRule="exact"/>
        <w:rPr>
          <w:sz w:val="20"/>
          <w:szCs w:val="20"/>
          <w:color w:val="auto"/>
        </w:rPr>
      </w:pPr>
    </w:p>
    <w:p>
      <w:pPr>
        <w:ind w:left="332" w:right="200" w:hanging="332"/>
        <w:spacing w:after="0" w:line="258"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26,748 shares held by Boothbay Absolute Return Strategies, LP, (ii) 20,176 shares held by Boothbay Diversified Alpha Master Fund LP, (iii) 4,017 shares held by Cadence Hill Opportunity Fund, (iv) 48,016 shares held by FW Deep Value Opportunities Fund I, (v) 12,196 shares held by FourWorld Event Opportunities, LP, (vi) 119,490 shares held by FourWorld Global Opportunities Fund, Ltd. and (vii) 8,724 shares held by FourWorld Special Opportunities Fund, LLC (collectively, the “FW Funds”). FourWorld Capital Management LLC (“FWCM”) is the investment manager of the FW Funds. FWCM may be deemed beneficial owner of the Company securities being registered hereby for the sale of the FW Funds. John Addis, as the Chief Investment Officer of FWCM, makes voting and investment decisions for the FW Funds, but disclaims beneficial ownership of the shares held by them. The address of each of the FW Funds is 7 World Trade Center, Floor 46, New York, NY 10007.</w:t>
      </w:r>
    </w:p>
    <w:p>
      <w:pPr>
        <w:spacing w:after="0" w:line="1"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150,000 shares held by Hartree Partner, LP (“Hartree”) Hartree is managed by Hartree Partners GP, LLC (“Hartree GP”) as the general partner of Hartree. The management committee of Hartree GP establishes the trading guidelines of Hartree and holds voting and dispositive power over the shares held by Hartree. Such management committee is comprised of the following six members: Stephen Hendel, Stephen Semlitz, Jonathan Merison, Robert O’Leary, Brook Hinchman and Jordan Mikes. The address of Hartree, Hartree GP and Messrs. Hendel, Semlitz, and Merison is 1185 Avenue of the Americas, New York, New York 10036. The address of Messrs. O’Leary, Hinchman and Mikes is 333 South Grand Avenue, 28th Floor, Los Angeles, California 90071.</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23,373 shares held by Corbin Opportunity Fund, L.P. and (ii) 115,919 shares held by Corbin ERISA Opportunity Fund, Ltd. (collectively, the “Corbin Funds”). Corbin Capital Partners, L.P. (“CCP”) is the investment manager of each of the Corbin Funds. CCP and its general partner, Corbin Capital Partners GP, LLC, may be deemed beneficial owners of the Company securities being registered hereby for sale by the Corbin Funds. Craig Bergstrom, as the Chief Investment Officer of CCP, makes voting and investment decisions for the Corbin Funds, but disclaims beneficial ownership of the shares held by them. The address of each of the Corbin Funds is 590 Madison Avenue, 31st Floor, New York, NY 10022.</w:t>
      </w:r>
    </w:p>
    <w:p>
      <w:pPr>
        <w:spacing w:after="0" w:line="1" w:lineRule="exact"/>
        <w:rPr>
          <w:rFonts w:ascii="Times New Roman" w:cs="Times New Roman" w:eastAsia="Times New Roman" w:hAnsi="Times New Roman"/>
          <w:sz w:val="14"/>
          <w:szCs w:val="14"/>
          <w:color w:val="auto"/>
        </w:rPr>
      </w:pPr>
    </w:p>
    <w:p>
      <w:pPr>
        <w:ind w:left="332" w:right="40" w:hanging="332"/>
        <w:spacing w:after="0" w:line="262"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102,157 shares held by ACR Strategic Credit LP (“ASC LP”). ACR Alpine Capital Research, LLC (“ACR”) is the investment manager for ASC LP. Nicholas Tompras holds a controlling interest in ACR and ACR CV LLC, the general partner of ASC LP. ACR and Nicholas Tompras may be deemed to beneficially own the securities held by ASC LP. ACR and Nicholas Tompras each disclaim beneficial ownership of such securities except to the extent of their pecuniary interests therein. The address of ASC LP is 190 Carondelet Plaza, Suite 1300, St. Louis, MO 63105.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32"/>
          </w:cols>
          <w:pgMar w:left="328" w:top="121" w:right="3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certain provisions of our Charter, our Bylaws, the Registration Rights Agreement, the Stockholders Agreement and relevant provisions of the DGCL. The descriptions herein are qualified in their entirety by reference to our Charter, Bylaws, Registration Rights Agreement and Stockholders Agreement copies of which have been filed as exhibits to the registration statement of which this prospectus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 authorizes us to issue up to 400,000,000 shares of capital stock, consisting of (i) 350,000,000 shares of our common stock, par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and (ii) 50,000,000 shares of preferred stock, par value $0.01 per share (our “preferred stock”). As of June 3, 2024, there were 58,535,843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outstanding held by one stockholder of record, and no shares of preferred stock were issued and outstanding. Pursuant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our Board of Directors has the authority, without stockholder approval, except as required by the listing standards of Nasdaq, to issue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our common stock are duly authorized, validly issued, fully paid and non-assessable. All authorized but unissued shares of our common stock are available for issuance by our Board of Directors without any further stockholder action, except as required by the listing standards of Nasdaq.</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All shares of our common stock have identical rights and privileges. The holders of shares of our common stock are entitled to vote on all matters submitted to a vote of our stockholders, including the election of directors. On all matters to be voted on by holders of shares of our common stock, the holders will be entitled to one vote for each share of our common stock held of record and will have no cumulative voting rights.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preferences that may apply to any outstanding shares of our preferred stock and contractual restrictions, holders of our common stock are entitled to receive dividends or other distributions ratably, when, as and if declared by the Board of Directors. The ability of the Board of Directors to declare dividends with respect to our common stock, however, will be subject to such limitations, preferences and restrictions and the availability of sufficient funds under the DGCL to pay such dividends.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Talen, after payment or provision for payment of the debts and other liabilities of Talen, and subject to the rights of the holders of preferred stock in respect thereof, the remaining assets of Talen will be distributed ratably to the holders of shares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Pursuant to that certain Employment Agreement, dated December 12, 2022, by and between TES and Leonard LoBiondo, at Emergence, Mr. LoBiondo acquired warrants to purchase up to 457,142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21" w:right="339" w:bottom="1440" w:gutter="0" w:footer="0" w:header="0"/>
        </w:sectPr>
      </w:pP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a tenor of three years and a strike price of $43.75, subject to adjustment in certain circumstances, the terms of which are set forth in the that certain Warrant Certificate No. L-1, dated May 17, 2023, issued by TEC.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Emergence, TEC entered into the Registration Rights Agreement with the Reg Rights Holders that, among other things, granted customary registration rights to the Reg Rights Holders and certain of their permitted transferees, including customary shelf registration rights and piggyback rights, which may be exercised after the consummation of an initial public offering. For additional information about the Registration Rights Agreement, please see “Certain Relationships and Related Party Transactions—Registration Rights Agreement and Stockholders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At Emergence, TEC also entered into the Stockholders Agreement with the Holders. Pursuant to the Stockholders Agreement, the Holders have certain limited information rights, drag-along rights and tag-along rights. The Stockholders Agreement also provides that certain Holders have rights to require TEC to pursue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For additional information about the Stockholders Agreement, please see “Certain Relationships and Related Party Transactions—Registration Rights Agreement and 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75"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Charter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our Board of Directors have the authority, without further action by our stockholders, to issue up to 50,000,000 shares of unissued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be removed from office, with or without cause, by an affirmative vote of the holders of at least a majority of the outstanding shares of capital stock entitled to vote thereon.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our Charter, we have elected not to be governed by Section 203 of the DGCL, as permitted under and pursuant to subsection (b)(3) of Section 203. Section 203 prohibits a publicly held Delaware corporation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121" w:right="359" w:bottom="1440" w:gutter="0" w:footer="0" w:header="0"/>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and Board Size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of Directors is set by a resolution of the Board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as required by the DGCL or the terms of any class or series of preferred stock issued in the future, special meetings of our stockholders may be called only by (a) the Chair of the Board of Directors, (b) the Board of Directors pursuant to a resolution adopted by a majority of a quorum of the Board of Directors or (c) the Board of Directors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spacing w:after="0" w:line="122" w:lineRule="exact"/>
        <w:rPr>
          <w:sz w:val="20"/>
          <w:szCs w:val="20"/>
          <w:color w:val="auto"/>
        </w:rPr>
      </w:pPr>
    </w:p>
    <w:p>
      <w:pPr>
        <w:ind w:left="340" w:right="47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Stockholders must provide timely notice when seeking to:</w:t>
      </w:r>
    </w:p>
    <w:p>
      <w:pPr>
        <w:spacing w:after="0" w:line="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an annual meeting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 special meeting of stockholders (if contemplated and permitted by the notice of a special meeting);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candidates for election to the Board of Directors at an annual meeting of stockholders or at a special meeting of stockholders called for the purpose of electing one or more directors to the Board of Directors.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be timely, a stockholders notice generally must be received by the Secretary of Talen at our principal executive offices:</w:t>
      </w:r>
    </w:p>
    <w:p>
      <w:pPr>
        <w:spacing w:after="0" w:line="17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w:t>
      </w:r>
    </w:p>
    <w:p>
      <w:pPr>
        <w:spacing w:after="0" w:line="17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90th day nor earlier than the close of business on the 120th day prior to the first anniversary of the date of the immediately preceding year’s annual meeting, or</w:t>
      </w:r>
    </w:p>
    <w:p>
      <w:pPr>
        <w:spacing w:after="0" w:line="107"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the first public announcement of the date of the annual meeting is made by Talen; or</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earlier than the opening of business on the 120th day and not later than the close of business on the later of the 90th day prior to the special meeting and the 10th day following the day on which public announcement is first made of the date of the special meeting and the nominees proposed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121" w:right="35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Charter and Bylaws also specify requirements as to the form and content of the stockholder’s notice. These provisions may preclude stockholders from bringing matters before or proposing director nominees to an annual meeting or a special meeting of stockholders.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 Provision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Bylaws may be amended, altered or repealed, or new bylaws made, by vote of (a) a majority of the directors present at a meeting at which a quorum of the Board of Directors is present or (b) the holders of a majority of the voting power of all outstanding shares of capital stock of Talen entitled to thereon, voting together as a single class.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court or a federal court located within the State of Delaware that does have jurisdiction).</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the Company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the business, operating results and financial condition of the Company.</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Due to regulatory authorization requirements imposed by federal law and implemented by the Federal Energy Regulatory Commission, our Charter requires prior written consent of the Board of Directors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Talen public utility subsidiary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21" w:right="35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75"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Pursuant to our Charter, our Board of Directors has the authority, without stockholder approval, except as required by the listing standards of Nasdaq, to issue authorized but unissued shares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DGCL, our Bylaws provide that:</w:t>
      </w:r>
    </w:p>
    <w:p>
      <w:pPr>
        <w:spacing w:after="0" w:line="171" w:lineRule="exact"/>
        <w:rPr>
          <w:sz w:val="20"/>
          <w:szCs w:val="20"/>
          <w:color w:val="auto"/>
        </w:rPr>
      </w:pPr>
    </w:p>
    <w:p>
      <w:pPr>
        <w:ind w:left="660" w:right="3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executive officers to the fullest extent permitted by the DGCL, subject to limited exceptions, and that we may indemnify other officers, employees or other agents;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executive officers in connection with a legal proceeding to the fullest extent permitted by the DGCL,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7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American Stock Transfer &amp; Trust Company. The transfer agent and registrar’s address is 6201 15th Avenue, Brooklyn, New York, 11219.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intend to apply to have our common stock listed on Nasdaq under the symbol “TLN.”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21" w:right="3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Future issuances or sales of substantial amounts of our common stock in the public market, or the perception that such issuances or resales may occur, could adversely affect the prevailing market price of our common stock. No prediction can be made as to the effect, if any, future issuances or resales of shares, or the availability of shares for future sales, will have on the market price of our common stock prevailing from time to time. See “Risk Factors— Risks Related to Ownership of Our Common Stock—No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 we have a total of 58,535,843 shares of common stock issued and outstanding (after taking into account the 493,000 shares of the Company’s common stock the Company has repurchased under its share repurchase program). Of the 59,028,843 shares of common stock issued and outstanding at Emergence, 15,135,955 shares were issued in reliance on the exemption from registration provided by Section 1145 of the Bankruptcy Code (the “1145 Shares”). The 1145 Shares are freely tradable without restriction or further registration under the Securities Act, except that any shares held by our affiliates, as that term is defined under Rule 144 of the Securities Act, are considered control securities and may be sold only in compliance with the limitations described below. Of the 59,028,843 shares of common stock issued and outstanding at Emergence, 43,892,888 shares were issued in reliance on the exemption from registration provided by Section 4(a)(2) of the Securities Act (the “4(a)(2) Shares”). The 4(a)(2) Shares are deemed restricted securities under the meaning of Rule 144 and may be sold in the public market only if registered or if they qualify for an exemption from registration, including the exemptions pursuant to Rule 144, which are summarized below.</w:t>
      </w:r>
    </w:p>
    <w:p>
      <w:pPr>
        <w:spacing w:after="0" w:line="13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plan to file a registration statement on Form S-8 under the Securities Act to register shares of our common stock or securities convertible into or exchangeable for shares of common stock issued pursuant to our 2023 Equity Plan. Any such Form S-8 registration statement will automatically become effective upon filing. Accordingly, subject to applicable vesting restrictions or lock-up restrictions and except for shares held by affiliates, shares to be registered under any such registration statement will be available for sale in the open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and Resales of 1145 Shares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relied on Section 1145(a)(1) and (2) of the Bankruptcy Code to exempt from the registration requirements of the Securities Act any future offer and resale of our common stock issued pursuant to the Plan of Reorganization. Section 1145(a)(1) exempts the offer and sale of securities under the Plan of Reorganization from registration under Section 5 of the Securities Act and state laws if certain requirements are satisfied. The 1145 Shares issued pursuant to the Plan of Reorganization may be resold without registration unless the seller is an “underwriter” with respect to those shares. Section 1145(b)(1) defines an “underwriter” as any person who: purchases a claim against, an interest in, or a claim for an administrative expense against the debtor, if that purchase is with a view to distributing any security received in exchange for such a claim or interest; offers to sell securities offered under the Plan of Reorganization for the holders of those securities; offers to buy those securities from the holders of the securities, if the offer to buy is (i) with a view to distributing those securities; and (ii) under an agreement made in connection with the Plan of Reorganization, the completion of the Plan of Reorganization, or with the offer or sale of securities under the Plan of Reorganization; or is an “affiliate” of the issuer. To the extent a person is deemed to be an “underwriter,” resales by such person would not be exempted by Section 1145 from registration under the Securities Act or other applicable law. Those persons would, however, be permitted to resell shares of our common stock without registration if they are able to comply with the provisions of Rule 144, as described further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 of Restricted Securities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21" w:right="359" w:bottom="1440" w:gutter="0" w:footer="0" w:header="0"/>
        </w:sectPr>
      </w:pPr>
    </w:p>
    <w:bookmarkStart w:id="157" w:name="page158"/>
    <w:bookmarkEnd w:id="15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but less than a year,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20"/>
          </w:cols>
          <w:pgMar w:left="320" w:top="121" w:right="35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upon the effectiveness of the</w:t>
      </w:r>
    </w:p>
    <w:p>
      <w:pPr>
        <w:spacing w:after="0" w:line="398" w:lineRule="exact"/>
        <w:rPr>
          <w:sz w:val="20"/>
          <w:szCs w:val="20"/>
          <w:color w:val="auto"/>
        </w:rPr>
      </w:pPr>
    </w:p>
    <w:p>
      <w:pPr>
        <w:sectPr>
          <w:pgSz w:w="11900" w:h="16838" w:orient="portrait"/>
          <w:cols w:equalWidth="0" w:num="3">
            <w:col w:w="400" w:space="260"/>
            <w:col w:w="7160" w:space="500"/>
            <w:col w:w="2900"/>
          </w:cols>
          <w:pgMar w:left="320" w:top="121" w:right="359" w:bottom="1440" w:gutter="0" w:footer="0" w:header="0"/>
          <w:type w:val="continuous"/>
        </w:sectPr>
      </w:pPr>
    </w:p>
    <w:p>
      <w:pPr>
        <w:ind w:left="660" w:right="16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Nasdaq during the four calendar weeks preceding the filing of a notice on Form 144 with respect to such sale.</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 of Restricted Securities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once we have been subject to the public company reporting requirements of Section 13 or Section 15(d) of the Exchange Act for at least 90 days, a person who is not an affiliate of ours at the time of sale, has not been an affiliate at any time during the three months preceding a sale, and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PSUs and RSUs subject to outstanding stock options under our 2023 Equity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at least three percent of our outstanding common stock will be entitled to various rights with respect to the registration of these shares under the Securities Act upon the effectiveness of the registration statement of which this prospectus forms a part. Registration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21" w:right="359" w:bottom="1440" w:gutter="0" w:footer="0" w:header="0"/>
          <w:type w:val="continuous"/>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acquisition, ownership and disposition of our common stock purchased pursuant to this offering by a non-U.S. holder. For the purpose of this discussion, a non-U.S. holder is any beneficial owner of our common stock that is an individual, corporation, estate or trust and that is not for U.S. federal income tax purposes any of the following:</w:t>
      </w:r>
    </w:p>
    <w:p>
      <w:pPr>
        <w:spacing w:after="0" w:line="122"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U.S. or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or arrangement treated as a partnership or other pass-through entity for U.S. federal income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(x) is subject to the primary supervision of a U.S. court within the United States and has one or more U.S. persons (within the meaning of Section 7701(a)(30) of the Code, as defined for U.S. federal income tax purposes) who have the authority to control all substantial decisions of the trust or (y) has made a valid election under applicable U.S. Treasury Regulations to be treated as a U.S. person.</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holds our common stock, the tax treatment of a partner in the partnership will generally depend on the status of the partner and upon the activities of the partnership. Accordingly, if you are treated as a partner of a partnership that holds our common stock you should consult your own tax advisor as to the particular U.S. federal income tax consequences applicable to you.</w:t>
      </w:r>
    </w:p>
    <w:p>
      <w:pPr>
        <w:spacing w:after="0" w:line="12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discussion assumes that a non-U.S. holder will hold our common stock purchased pursuant to this offering as a capital asset within the meaning of Section 1221 of the Code (generally, property held for investment). This discussion does not address all aspects of U.S. federal taxation (including alternative minimum, gift and estate tax or any Medicare taxes imposed on net investment income) or any aspects of state, local or non-U.S. taxation. It does not consider any U.S. federal income tax considerations that may be relevant to non-U.S. holders that may be subject to special treatment under U.S. federal income tax laws, including, without limitation, U.S. expatriates, former citizens or long-term residents of the U.S., life insurance companies, real estate investment trusts, regulated investment companies, tax-exempt or governmental organizations, “qualified foreign pension funds” (within the meaning of Section 897(l)(2) of the Code and entities all of the interests of which are held by qualified foreign pension funds), tax-qualified retirement plans, brokers or dealers in securities or currency, banks or other financial institutions, “passive foreign investment companies,” “controlled foreign corporations,” investors that hold our common stock as part of a hedge, straddle, constructive sale, redemption, conversion transaction or other risk reduction strategy or integrated investment and, except as otherwise provided below, persons who at any time hold more than 5% of the fair market value of any class of our stock. Furthermore, the following discussion is based on current provisions of the Code, Treasury Regulations and administrative and judicial interpretations thereof, all as in effect on the date hereof, and all of which are subject to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4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urge each prospective investor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21" w:right="33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in the discretion of the Board of Directors, we make distributions of cash or property on our common stock, those payments will constitute dividends to the extent paid from our current or accumulated earnings and profits, as determined under U.S. federal income tax principles. To the extent those distributions exceed our current and accumulated earnings and profits, the distributions will first constitute non-taxable returns of capital and reduce (but not below zero) a non-U.S. holder’s adjusted tax basis in its common stock (determined on a share-by-share basis), and then will be treated as gain from the sale of the common stock (subject to the rules discussed below under “— Gain on Disposition of Common Stock”). Any such distributions will also be subject to the discussion below under the section entitled “—Additional Withholding Tax Relating to Foreign Accounts.”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any dividends (i.e., any distributions out of earnings and profits) paid to a non-U.S. holder of our common stock that are not effectively connected with a U.S. trade or business conducted by the non-U.S. holder generally will be subject to U.S. withholding tax either at a rate of 30% of the gross amount of the dividend or such lower rate as may be specified by an applicable tax treaty. Non-U.S. holders should consult their tax advisors regarding their entitlement to benefits under an applicable income tax treaty and the requirements for and manner of claiming the benefits of such treaty (including, without limitation, the need to obtain a U.S. taxpayer identification number). To receive the benefit of a reduced treaty rate, a non-U.S. holder must generally provide us or our paying agent with a valid IRS Form W-8BEN-E, W-8BEN or other appropriate version of IRS Form W-8 certifying qualification for the reduced rate prior to the payment of any dividend and otherwise comply with all other applicable legal requirements (including periodically updating such forms).</w:t>
      </w:r>
    </w:p>
    <w:p>
      <w:pPr>
        <w:spacing w:after="0" w:line="13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provided by an applicable treaty, that are attributable to a U.S. permanent establishment of such non-U.S. holder) are exempt from such U.S. withholding tax (provided that the non-U.S. holder complies with certain certification and disclosure requirements). Non-U.S. holders should consult their tax advisors regarding their entitlement to the exemption from withholding on dividends effectively connected with such holder’s U.S. trade or business and the requirements for and manner of claiming the benefits of such exemption. To obtain this exemption, the non-U.S. holder must generally provide us or our paying agent with a valid IRS Form W-8ECI properly certifying such exemption and otherwise comply with all other applicable legal requirements (including, without limitation, periodically updating such form). Such effectively connected dividends, although not subject to withholding tax, will be subject to U.S. federal income tax on a net income basis at the same graduated rates generally applicable to U.S. persons, subject to any applicable tax treaty providing otherwise. In addition to the income tax described above, dividends received by corporate non-U.S. holders that are effectively connected with a U.S. trade or business of the corporate non-U.S. holder may be subject to a branch profits tax at a rate of 30% (or such lower rate as may be specified by an applicable tax treaty).</w:t>
      </w:r>
    </w:p>
    <w:p>
      <w:pPr>
        <w:spacing w:after="0" w:line="1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 non-U.S. holder of our common stock may obtain a refund of any excess amounts withheld if the non-U.S. holder is eligible for a reduced rate of U.S. withholding tax and an appropriate claim for refund is timely filed with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of FATCA, below, a non-U.S. holder generally will not be subject to U.S. federal income tax on any gain realized upon the sale or other disposition of our common stock unless:</w:t>
      </w:r>
    </w:p>
    <w:p>
      <w:pPr>
        <w:spacing w:after="0" w:line="108" w:lineRule="exact"/>
        <w:rPr>
          <w:sz w:val="20"/>
          <w:szCs w:val="20"/>
          <w:color w:val="auto"/>
        </w:rPr>
      </w:pPr>
    </w:p>
    <w:p>
      <w:pPr>
        <w:ind w:left="66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required by an applicable tax treaty, is attributable to a U.S. permanent establishment maintained by such non-U.S. 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21" w:right="37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right="300" w:hanging="328"/>
        <w:spacing w:after="0" w:line="26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(a “USRPHC”) within the meaning of Section 897(c)(2) of the Code at any time within the shorter of the five-year period preceding the disposition or the non-U.S. holder’s holding period for our common stock.</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will be recognized in an amount equal to the excess of the amount of cash and the fair market value of any other property received for the common stock over the non-U.S. holder’s basis in the common stock. Such gain or loss generally will be subject to U.S. federal income tax on a net income basis at the same graduated rates applicable to U.S. persons. In the case of a non-U.S. holder that is a foreign corporation, such gain may also be subject to a branch profits tax at a rate of 30% (or such lower rate as may be specified by an applicable tax treaty).</w:t>
      </w:r>
    </w:p>
    <w:p>
      <w:pPr>
        <w:spacing w:after="0" w:line="1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(which may be offset by U.S. source capital losses of such non-U.S. holder, provided that the non-U.S. holder has timely filed U.S. federal income tax returns with respect to such losses) will be subject to a flat 30% U.S. federal income tax (or such lower rate as may be specified by an applicable tax treaty).</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we do not expect to become, a USRPHC. However, because the determination of whether we are a USRPHC depends on the fair market value of our U.S. real property relative to the fair market value of our other business assets and our interests in real property located outside the United States and because the definition of U.S. real property is not entirely clear, there can be no assurance that we are not a USRPHC now or will not become one in the future. Even if we were to become a USRPHC, however, as long as our common stock is “regularly traded” on an established securities market (as to which there can be no assurance), such common stock will be treated as U.S. real property interests only if the non-U.S. holder actually or constructively holds or held more than five percent of such regularly traded common stock at any time during the applicable period described in the third bullet point above.</w:t>
      </w:r>
    </w:p>
    <w:p>
      <w:pPr>
        <w:spacing w:after="0" w:line="135" w:lineRule="exact"/>
        <w:rPr>
          <w:sz w:val="20"/>
          <w:szCs w:val="20"/>
          <w:color w:val="auto"/>
        </w:rPr>
      </w:pPr>
    </w:p>
    <w:p>
      <w:pPr>
        <w:ind w:right="12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a tax advisor regarding potentially applicable income tax treaties that may provide for different rules. </w:t>
      </w:r>
      <w:r>
        <w:rPr>
          <w:rFonts w:ascii="Times New Roman" w:cs="Times New Roman" w:eastAsia="Times New Roman" w:hAnsi="Times New Roman"/>
          <w:sz w:val="18"/>
          <w:szCs w:val="18"/>
          <w:b w:val="1"/>
          <w:bCs w:val="1"/>
          <w:color w:val="auto"/>
        </w:rPr>
        <w:t>Backup Withholding and Information Reporting</w:t>
      </w:r>
    </w:p>
    <w:p>
      <w:pPr>
        <w:spacing w:after="0" w:line="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each non-U.S. holder, the name and address of the recipient, and the amount, if any, of tax withheld with respect to those dividends. These information reporting requirements apply even if withholding was not required or was otherwise reduced or eliminated. This information also may be made available under a specific treaty or agreement with the tax authorities of the country in which the non-U.S. holder resides or is established. Payment of the proceeds of a sale of our common stock within the United States or through certain U.S. financial intermediaries is also subject to information reporting, and depending on the circumstances may be subject to backup withholding unless the non-U.S. holder, certifies that it is a non-U.S. holder or furnishes an IRS Form W-8.</w:t>
      </w:r>
    </w:p>
    <w:p>
      <w:pPr>
        <w:spacing w:after="0" w:line="133" w:lineRule="exact"/>
        <w:rPr>
          <w:sz w:val="20"/>
          <w:szCs w:val="20"/>
          <w:color w:val="auto"/>
        </w:rPr>
      </w:pPr>
    </w:p>
    <w:p>
      <w:pPr>
        <w:ind w:right="60" w:firstLine="324"/>
        <w:spacing w:after="0" w:line="276" w:lineRule="auto"/>
        <w:rPr>
          <w:sz w:val="20"/>
          <w:szCs w:val="20"/>
          <w:color w:val="auto"/>
        </w:rPr>
      </w:pPr>
      <w:r>
        <w:rPr>
          <w:rFonts w:ascii="Times New Roman" w:cs="Times New Roman" w:eastAsia="Times New Roman" w:hAnsi="Times New Roman"/>
          <w:sz w:val="17"/>
          <w:szCs w:val="17"/>
          <w:color w:val="auto"/>
        </w:rPr>
        <w:t>Payments of dividends to a non-U.S. holder may be subject to backup withholding (at the applicable rate) unless the non-U.S. holder establishes an exemption, for example, by properly certifying its non-U.S. status on an IRS Form W-8BEN-E or W-8BEN or another appropriate version of IRS Form W-</w:t>
      </w:r>
    </w:p>
    <w:p>
      <w:pPr>
        <w:spacing w:after="0" w:line="1" w:lineRule="exact"/>
        <w:rPr>
          <w:sz w:val="20"/>
          <w:szCs w:val="20"/>
          <w:color w:val="auto"/>
        </w:rPr>
      </w:pPr>
    </w:p>
    <w:p>
      <w:pPr>
        <w:ind w:right="620" w:firstLine="8"/>
        <w:spacing w:after="0" w:line="260"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backup withholding may apply if either we or our paying agent has actual knowledge, or reason to know, that the beneficial owner is a U.S. person that is not an exempt recipient.</w:t>
      </w:r>
    </w:p>
    <w:p>
      <w:pPr>
        <w:spacing w:after="0" w:line="1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U.S. information reporting and backup withholding generally will not apply to a payment of proceeds from a disposition of common stock where the transaction is effected outside the United States through a non-U.S. office of a non-U.S. broker. However, information reporting requirements, but generally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(iv) a foreign partnership with certain U.S. connections; or (v) a U.S. branch of a foreign bank or foreign insurance company or a “territory financial institution” (as specially defined) in each case meeting certain requirements, unless the broker has documentary evidence in its records that the holder is a non-U.S. holder and certain conditions are met or the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21" w:right="33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that the required information is timely furnished to the IRS. Non-U.S. holders should consult their own tax advisors regarding the application of backup withholding in their particular circumstances and the availability of, and procedures for, obtaining an exemption from backup withholding.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Relating to Foreign Accounts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“foreign financial institutions” or “non-financial foreign entities” (each as defined in the Code), unless those entities comply with certain requirements under the Code and applicable U.S. Treasury regulations, which requirements may be modified by an “intergovernmental agreement” entered into between the United States and an applicable foreign country.</w:t>
      </w:r>
    </w:p>
    <w:p>
      <w:pPr>
        <w:spacing w:after="0" w:line="13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Proposed U.S. Treasury Regulations have indefinitely suspended FATCA withholding on the gross proceeds from a sale or other disposition of our common stock and may be relied upon by taxpayers until final regulations are issued.</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04"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only a summary of certain material U.S. federal income tax consequences of the acquisition, ownership and disposition of our common stock by non-U.S. holders. Each prospective investor should consult its own tax advisor with respect to the particular tax consequences of the acquisition, ownership and disposition of our common stock, including the effect of any U.S. federal, state, local and non-U.S. or other tax laws and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320" w:top="121" w:right="35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covered by this prospectus by the Selling Stockholders from time to time after the date of this prospectus. We will not receive any of the proceeds of any such resale of shares of our common stock. The aggregate proceeds to the Selling Stockholders from the resales of shares or our common stock will be the purchase price of the shares less any discounts and commissions.</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any of their successors in interest selling shares received from a named Selling Stockholder as a gift, partnership distribution or other non-sale-related transfer after the date of this prospectus (some or all of whom may be Selling Stockholders), may sell some or all of the shares of common stock covered by this prospectus from time to time on any stock exchange or automated interdealer quotation system on which the securities are listed or quoted, in the over-the-counter market, in privately negotiated transactions or otherwise, at fixed prices that may be changed, at market prices prevailing at the time of sale, at prices related to prevailing market prices, at prices determined at the time of sale, or at prices otherwise negotiated. The Selling Stockholders may sell the shares by one or more of the following methods, without limitation:</w:t>
      </w:r>
    </w:p>
    <w:p>
      <w:pPr>
        <w:spacing w:after="0" w:line="133"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crosses in which the same broker or dealer acts as an agent on both sides of the trades;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the shares are listed;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transactions and transactions in which the broker solicits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shares (including the issuance by the Selling Stockholder of derivative securities), whether or not the options are listed on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shares to a broker-dealer or an affiliate thereof;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to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(including obligations associated with derivatives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21" w:right="35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do not know of any arrangements by the Selling Stockholders for the sale of any of these shares. Upon our notification by a Selling Stockholder that any material arrangement has been entered into with an underwriter or broker-dealer for the sale of shares through a block trade, special offering, exchange distribution, secondary distribution or a purchase by an underwriter, dealer or agent, we will file a supplement to this prospectus, if required, pursuant to Rule 424(b) under the Securities Act, disclosing certain material information, including the number of shares being offered, the name or names of any underwriters, dealers or agents, any public offering price, any underwriting discounts and other items constituting compensation to underwriters, dealers or agents.</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example, the Selling Stockholders may engage brokers and dealers and any brokers or dealers may arrange for other brokers or dealers to participate in effecting sales of the shares. These brokers, dealers or underwriters may act as principals or as agents of a Selling Stockholder. Broker-dealers may agree with a Selling Stockholder to sell a specified number of the shares at a stipulated price per security. If the broker-dealer is unable to sell shares acting as agent for a Selling Stockholder, it may purchase as principal any unsold shares at the stipulated price. Broker-dealers who acquire shares as principals may thereafter resell the shares from time to time in transactions on any stock exchange or automated interdealer quotation system on which the shares are then listed, at prices and on terms then prevailing at the time of sale, at prices related to the then-current market price, at prices determined at the time of sale, or at prices otherwise negotiated. Broker-dealers may use block transactions and sales to and through broker-dealers, including crosses and other transactions of the nature described above.</w:t>
      </w:r>
    </w:p>
    <w:p>
      <w:pPr>
        <w:spacing w:after="0" w:line="13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Selling Stockholders may pledge, hypothecate or grant a security interest in some or all of the shares owned by them. The pledgees, secured parties or persons to whom the shares have been hypothecated will, upon foreclosure in the event of default, be deemed to be Selling Stockholders. As and when a Selling Stockholder takes such actions, the number of shares offered under this prospectus on behalf of such Selling Stockholder will decrease. The plan of distribution for such Selling Stockholder’s shares will otherwise remain unchanged.</w:t>
      </w:r>
    </w:p>
    <w:p>
      <w:pPr>
        <w:spacing w:after="0" w:line="12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from time to time, sell the shares short, and in those instances, this prospectus may be delivered in connection with the short sales and the shares offered under this prospectus may be used to cover short sales. A Selling Stockholder may enter into hedging transactions with broker-dealers and the broker-dealers may engage in short sales of the shares in the course of hedging the positions they assume with that Selling Stockholder, including, without limitation, in connection with distributions of the shares by those broker-dealers. A Selling Stockholder may enter into options or other transactions with broker-dealers that involve the delivery of the shares offered hereby to the broker-dealers, who may then resell or otherwise transfer those shares. A Selling Stockholder may also loan the shares offered hereby to a broker-dealer and the broker-dealer may sell the loaned shares pursuant to this prospectus.</w:t>
      </w:r>
    </w:p>
    <w:p>
      <w:pPr>
        <w:spacing w:after="0" w:line="13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not covered by this prospectus to third parties in privately negotiated transactions. If the applicable prospectus supplement indicates, in connection with those derivatives, the third parties may sell shares covered by this prospectus and the applicable prospectus supplement, including in short sale transactions. If so, the third-party may use shares pledged by the Selling Stockholder or borrowed from the Selling Stockholder or others to settle those sales or to close out any related open borrowings of stock and may use shares received from the Selling Stockholder in settlement of those derivatives to close out any related open borrowings of stock. The third-party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names of the Selling Stockholders, aggregate amount of Selling Stockholders’ shares being offered and the terms of the offering, the names of any agents, dealers or underwriters and any applicable compensation with respect to a particular offer will be set forth in an accompanying prospectus supplement. Any underwriters, dealers or agents participating in the distribution of the shares may receive compensation in the form of underwriting discounts, concessions, commissions or fees from a Selling Stockholder and/or purchasers of Selling Stockholders’ shares for whom they may act (which compensation as to a particular broker-dealer might be in excess of customary commissions). Pursuant to a FINRA requirement, the maximum commission or discount to be received by any FINRA member or independent broker-dealer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320" w:top="121" w:right="35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greater than 8% of the gross proceeds received by the Selling Stockholders for the sale of any shares of common stock being offered by this prospectus and any applicable prospectus supplement.</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4(a)(2) Shares offered hereby were originally issued to the Selling Stockholders pursuant to an exemption from the registration requirements of the Securities Act. We agreed to register resales of such 4(a)(2) Shares and the 1145 Shares under the Securities Act and to keep the registration statement of which this prospectus is a part effective for a specified period of time. We have agreed to pay certain expenses in connection with certain resales of the shares registered pursuant to the registration statement of which this prospectus is a part, including the fees and expenses of one counsel retained by the Selling Stockholders. In addition, we have agreed to indemnify in certain circumstances certain of the Selling Stockholders against certain liabilities, including liabilities under the Securities Act. Certain of the Selling Stockholders have agreed to indemnify us in certain circumstances against certain liabilities, including liabilities under the Securities Act. We have also agreed to pay substantially all of the expenses incidental to the registration of resales of shares of our common stock, including the payment of federal securities law and state “blue sky” registration fees but excluding underwriting discounts and commissions relating to the sale of common stock. See “Certain Relationships and Related Party Transactions—Registration Rights Agreement and Stockholders Agreement.”</w:t>
      </w:r>
    </w:p>
    <w:p>
      <w:pPr>
        <w:spacing w:after="0" w:line="14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offered hereby. Further, we cannot assure you that any such Selling Stockholder will not transfer, devise or gift the common stock by other means not described in this prospectus. In addition, any common stock covered by this prospectus that qualifies for sale under Rule 144 or Regulation D of the Securities Act may be sold under Rule 144 or Regulation D, as applicable, rather than under this prospectus. The common stock covered by this prospectus may also be sold to non-U.S. persons outside the United States in accordance with Regulation S under the Securities Act rather than under this prospectus. The common stock may be resold in some states only through registered or licensed brokers or dealers. In addition, in some states the common stock may not be resold unless it has been registered or qualified for resale or an exemption from registration or qualification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21"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TX.</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Talen Energy Corporation (Successor) as of December 31, 2023 and for the period from May 18, 2023 through December 31, 2023 included in this prospectus have been so included in reliance on the report (which contains an explanatory paragraph relating to the Company’s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Talen Energy Supply, LLC (Predecessor) as of December 31, 2022, and for the period from January 1, 2023 through May 17, 2023 and for each of the two years in the period ended December 31, 2022 included in this prospectus have been so included in reliance on the report (which contains an explanatory paragraph relating to the Company’s petition on May 9, 2022 with the United States Bankruptcy Court for the Southern District of Texas for reorganization under the provisions of Chapter 11 of the Bankruptcy Code, and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www.talenenergy.com,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21" w:right="339" w:bottom="1440" w:gutter="0" w:footer="0" w:header="0"/>
        </w:sectPr>
      </w:pPr>
    </w:p>
    <w:bookmarkStart w:id="166" w:name="page167"/>
    <w:bookmarkEnd w:id="166"/>
    <w:p>
      <w:pPr>
        <w:jc w:val="center"/>
        <w:ind w:left="860"/>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for the Three-month Periods Ending March 31, 2024 (Successor) and March 31, 2023 (Predecessor)</w:t>
      </w:r>
    </w:p>
    <w:p>
      <w:pPr>
        <w:spacing w:after="0" w:line="81" w:lineRule="exact"/>
        <w:rPr>
          <w:sz w:val="20"/>
          <w:szCs w:val="20"/>
          <w:color w:val="auto"/>
        </w:rPr>
      </w:pPr>
    </w:p>
    <w:p>
      <w:pPr>
        <w:ind w:left="380" w:right="2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Ending March 31, 2024 (Successor) and March 31, 2023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Three-month Periods Ending March 31, 2024 (Successor) and March 31, 2023 (Predecessor)</w:t>
      </w:r>
    </w:p>
    <w:p>
      <w:pPr>
        <w:spacing w:after="0" w:line="64" w:lineRule="exact"/>
        <w:rPr>
          <w:sz w:val="20"/>
          <w:szCs w:val="20"/>
          <w:color w:val="auto"/>
        </w:rPr>
      </w:pPr>
    </w:p>
    <w:p>
      <w:pPr>
        <w:ind w:left="380" w:right="96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Balance Sheets for the Three-month Periods Ending March 31, 2024 (Successor) and March 31, 2023 (Predecessor)</w:t>
      </w:r>
    </w:p>
    <w:p>
      <w:pPr>
        <w:spacing w:after="0" w:line="64" w:lineRule="exact"/>
        <w:rPr>
          <w:sz w:val="20"/>
          <w:szCs w:val="20"/>
          <w:color w:val="auto"/>
        </w:rPr>
      </w:pPr>
    </w:p>
    <w:p>
      <w:pPr>
        <w:ind w:left="380" w:right="1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Ending March 31, 2024 (Successor) and March 31, 2023 (Predecessor)</w:t>
      </w:r>
    </w:p>
    <w:p>
      <w:pPr>
        <w:spacing w:after="0" w:line="64" w:lineRule="exact"/>
        <w:rPr>
          <w:sz w:val="20"/>
          <w:szCs w:val="20"/>
          <w:color w:val="auto"/>
        </w:rPr>
      </w:pPr>
    </w:p>
    <w:p>
      <w:pPr>
        <w:ind w:left="380" w:right="5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Equity for the Three-month Periods Ending March 31, 2024 (Successor) and March 31, 2023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Interim Financial Statements (Unaudited)</w:t>
      </w:r>
    </w:p>
    <w:p>
      <w:pPr>
        <w:spacing w:after="0" w:line="73" w:lineRule="exact"/>
        <w:rPr>
          <w:sz w:val="20"/>
          <w:szCs w:val="20"/>
          <w:color w:val="auto"/>
        </w:rPr>
      </w:pPr>
    </w:p>
    <w:p>
      <w:pPr>
        <w:ind w:left="160" w:right="2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Audited Financial Statements for the Period from January 1, 2023 through May 17, 2023 (Predecessor), for the Period from May 18, 2023 through December 31, 2023 (Successor), and for the Years Ended December 31, 2022 and 2021 (Predecessor)</w:t>
      </w:r>
    </w:p>
    <w:p>
      <w:pPr>
        <w:spacing w:after="0" w:line="64" w:lineRule="exact"/>
        <w:rPr>
          <w:sz w:val="20"/>
          <w:szCs w:val="20"/>
          <w:color w:val="auto"/>
        </w:rPr>
      </w:pPr>
    </w:p>
    <w:p>
      <w:pPr>
        <w:ind w:left="220" w:right="2560"/>
        <w:spacing w:after="0" w:line="348" w:lineRule="auto"/>
        <w:rPr>
          <w:sz w:val="20"/>
          <w:szCs w:val="20"/>
          <w:color w:val="auto"/>
        </w:rPr>
      </w:pPr>
      <w:r>
        <w:rPr>
          <w:rFonts w:ascii="Times New Roman" w:cs="Times New Roman" w:eastAsia="Times New Roman" w:hAnsi="Times New Roman"/>
          <w:sz w:val="17"/>
          <w:szCs w:val="17"/>
          <w:color w:val="auto"/>
        </w:rPr>
        <w:t>Report of Independent Registered Public Accounting Firm - Successor Report of Independent Auditors Report of Independent Registered Public Accounting Firm - Predecessor Report of Independent Auditors</w:t>
      </w:r>
    </w:p>
    <w:p>
      <w:pPr>
        <w:ind w:left="380" w:right="16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Operations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77" w:lineRule="exact"/>
        <w:rPr>
          <w:sz w:val="20"/>
          <w:szCs w:val="20"/>
          <w:color w:val="auto"/>
        </w:rPr>
      </w:pPr>
    </w:p>
    <w:p>
      <w:pPr>
        <w:ind w:left="380" w:right="1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Cash Flows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right="2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Equity for the Period from January 1, 2023 through May 17, 2023 (Predecessor), for the Period from May 18, 2023 through December 31, 2023 (Successor), and the Year Ended December 31, 2022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Annual Financial Statements</w:t>
      </w:r>
    </w:p>
    <w:p>
      <w:pPr>
        <w:spacing w:after="0" w:line="77" w:lineRule="exact"/>
        <w:rPr>
          <w:sz w:val="20"/>
          <w:szCs w:val="20"/>
          <w:color w:val="auto"/>
        </w:rPr>
      </w:pPr>
    </w:p>
    <w:p>
      <w:pPr>
        <w:ind w:left="160" w:right="100" w:hanging="161"/>
        <w:spacing w:after="0" w:line="237" w:lineRule="auto"/>
        <w:rPr>
          <w:sz w:val="20"/>
          <w:szCs w:val="20"/>
          <w:color w:val="auto"/>
        </w:rPr>
      </w:pPr>
      <w:r>
        <w:rPr>
          <w:rFonts w:ascii="Times New Roman" w:cs="Times New Roman" w:eastAsia="Times New Roman" w:hAnsi="Times New Roman"/>
          <w:sz w:val="18"/>
          <w:szCs w:val="18"/>
          <w:color w:val="auto"/>
        </w:rPr>
        <w:t>Schedule I - Condensed Unconsolidated Financial Statements of Talen Energy Corporation for the Period from May 18 through December 31, 2023 and as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F-35</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F-37</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F-39</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F-40</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F-41</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F-42</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F-44</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F-45</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F-119</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2">
            <w:col w:w="10340" w:space="440"/>
            <w:col w:w="420"/>
          </w:cols>
          <w:pgMar w:left="340" w:top="121" w:right="35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c>
          <w:tcPr>
            <w:tcW w:w="0" w:type="dxa"/>
            <w:vAlign w:val="bottom"/>
          </w:tcPr>
          <w:p>
            <w:pPr>
              <w:spacing w:after="0"/>
              <w:rPr>
                <w:sz w:val="1"/>
                <w:szCs w:val="1"/>
                <w:color w:val="auto"/>
              </w:rPr>
            </w:pP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Energy Expenses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0" w:type="dxa"/>
            <w:vAlign w:val="bottom"/>
          </w:tcPr>
          <w:p>
            <w:pPr>
              <w:spacing w:after="0"/>
              <w:rPr>
                <w:sz w:val="1"/>
                <w:szCs w:val="1"/>
                <w:color w:val="auto"/>
              </w:rPr>
            </w:pPr>
          </w:p>
        </w:tc>
      </w:tr>
      <w:tr>
        <w:trPr>
          <w:trHeight w:val="95"/>
        </w:trPr>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 (Predecessor)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Common Share (Successor)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 (in thousands)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 (in thousands)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 arising during the period, net of tax</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from AOCI, net of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1"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80" w:type="dxa"/>
            <w:vAlign w:val="bottom"/>
            <w:tcBorders>
              <w:bottom w:val="single" w:sz="8" w:color="00276B"/>
            </w:tcBorders>
          </w:tcPr>
          <w:p>
            <w:pPr>
              <w:spacing w:after="0"/>
              <w:rPr>
                <w:sz w:val="2"/>
                <w:szCs w:val="2"/>
                <w:color w:val="auto"/>
              </w:rPr>
            </w:pPr>
          </w:p>
        </w:tc>
        <w:tc>
          <w:tcPr>
            <w:tcW w:w="1380" w:type="dxa"/>
            <w:vAlign w:val="bottom"/>
            <w:tcBorders>
              <w:bottom w:val="single" w:sz="8" w:color="00276B"/>
            </w:tcBorders>
            <w:gridSpan w:val="2"/>
          </w:tcPr>
          <w:p>
            <w:pPr>
              <w:spacing w:after="0"/>
              <w:rPr>
                <w:sz w:val="2"/>
                <w:szCs w:val="2"/>
                <w:color w:val="auto"/>
              </w:rPr>
            </w:pPr>
          </w:p>
        </w:tc>
        <w:tc>
          <w:tcPr>
            <w:tcW w:w="300" w:type="dxa"/>
            <w:vAlign w:val="bottom"/>
            <w:tcBorders>
              <w:bottom w:val="single" w:sz="8" w:color="00276B"/>
            </w:tcBorders>
          </w:tcPr>
          <w:p>
            <w:pPr>
              <w:spacing w:after="0"/>
              <w:rPr>
                <w:sz w:val="2"/>
                <w:szCs w:val="2"/>
                <w:color w:val="auto"/>
              </w:rPr>
            </w:pPr>
          </w:p>
        </w:tc>
        <w:tc>
          <w:tcPr>
            <w:tcW w:w="1260" w:type="dxa"/>
            <w:vAlign w:val="bottom"/>
            <w:tcBorders>
              <w:bottom w:val="single" w:sz="8" w:color="00276B"/>
            </w:tcBorders>
          </w:tcPr>
          <w:p>
            <w:pPr>
              <w:spacing w:after="0"/>
              <w:rPr>
                <w:sz w:val="2"/>
                <w:szCs w:val="2"/>
                <w:color w:val="auto"/>
              </w:rPr>
            </w:pPr>
          </w:p>
        </w:tc>
      </w:tr>
      <w:tr>
        <w:trPr>
          <w:trHeight w:val="184"/>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8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16)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7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96"/>
        </w:trPr>
        <w:tc>
          <w:tcPr>
            <w:tcW w:w="8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8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11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(Notes 11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95"/>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($0.001 par value, 350,000,000 shares authorized) </w:t>
            </w:r>
            <w:r>
              <w:rPr>
                <w:rFonts w:ascii="Times New Roman" w:cs="Times New Roman" w:eastAsia="Times New Roman" w:hAnsi="Times New Roman"/>
                <w:sz w:val="23"/>
                <w:szCs w:val="23"/>
                <w:color w:val="auto"/>
                <w:vertAlign w:val="superscript"/>
              </w:rPr>
              <w:t>(a) (b)</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as of March 31, 2024 (Successor) were: (i) 59,028,843 issued; (ii) 58,535,843 outstanding; and (iii) 493,000 held as treasury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59,028,843 shares issued and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21" w:right="339" w:bottom="1440"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 and Cash Equivalents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 equivalents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240"/>
          </w:cols>
          <w:pgMar w:left="320" w:top="121" w:right="339" w:bottom="1440" w:gutter="0" w:footer="0" w:header="0"/>
          <w:type w:val="continuous"/>
        </w:sectPr>
      </w:pPr>
    </w:p>
    <w:bookmarkStart w:id="171" w:name="page172"/>
    <w:bookmarkEnd w:id="171"/>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jc w:val="right"/>
              <w:ind w:right="13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contributions </w:t>
            </w:r>
            <w:r>
              <w:rPr>
                <w:rFonts w:ascii="Times New Roman" w:cs="Times New Roman" w:eastAsia="Times New Roman" w:hAnsi="Times New Roman"/>
                <w:sz w:val="23"/>
                <w:szCs w:val="23"/>
                <w:color w:val="auto"/>
                <w:vertAlign w:val="superscript"/>
              </w:rPr>
              <w:t>(b)</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net </w:t>
            </w:r>
            <w:r>
              <w:rPr>
                <w:rFonts w:ascii="Times New Roman" w:cs="Times New Roman" w:eastAsia="Times New Roman" w:hAnsi="Times New Roman"/>
                <w:sz w:val="23"/>
                <w:szCs w:val="23"/>
                <w:color w:val="auto"/>
                <w:vertAlign w:val="superscript"/>
              </w:rPr>
              <w:t>(c)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 (Predecessor)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noncontrolling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 </w:t>
            </w:r>
            <w:r>
              <w:rPr>
                <w:rFonts w:ascii="Times New Roman" w:cs="Times New Roman" w:eastAsia="Times New Roman" w:hAnsi="Times New Roman"/>
                <w:sz w:val="23"/>
                <w:szCs w:val="23"/>
                <w:color w:val="auto"/>
                <w:vertAlign w:val="superscript"/>
              </w:rPr>
              <w:t>(e)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w:t>
            </w:r>
            <w:r>
              <w:rPr>
                <w:rFonts w:ascii="Times New Roman" w:cs="Times New Roman" w:eastAsia="Times New Roman" w:hAnsi="Times New Roman"/>
                <w:sz w:val="23"/>
                <w:szCs w:val="23"/>
                <w:color w:val="auto"/>
                <w:vertAlign w:val="superscript"/>
              </w:rPr>
              <w:t>(c)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distributions of cryptocurrency mining machines or Bitcoin to TeraWulf.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 acquisition of remaining noncontrolling interests in Cumulus Digital Holdings. See Note 17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noncontrolling interest owners of Cumulus Digital Holdings.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60"/>
          </w:cols>
          <w:pgMar w:left="320" w:top="121" w:right="41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INTERIM FINANCIAL STATEMENTS</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w:t>
      </w:r>
    </w:p>
    <w:p>
      <w:pPr>
        <w:spacing w:after="0" w:line="122"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spacing w:after="0" w:line="1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Texas,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 As of March 31, 2024 (Successor), our generation capacity was 12,374 MW (summer rating). Talen is headquartered in Houston, Texas. See Note 17 for information on the recent sale of our generation assets in Texas.</w:t>
      </w:r>
    </w:p>
    <w:p>
      <w:pPr>
        <w:spacing w:after="0" w:line="129" w:lineRule="exact"/>
        <w:rPr>
          <w:sz w:val="20"/>
          <w:szCs w:val="20"/>
          <w:color w:val="auto"/>
        </w:rPr>
      </w:pPr>
    </w:p>
    <w:p>
      <w:pPr>
        <w:ind w:left="340" w:right="5540" w:hanging="332"/>
        <w:spacing w:after="0" w:line="440" w:lineRule="auto"/>
        <w:tabs>
          <w:tab w:leader="none" w:pos="331"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Interim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other various factors.</w:t>
      </w:r>
    </w:p>
    <w:p>
      <w:pPr>
        <w:spacing w:after="0" w:line="13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Held for Sale. </w:t>
      </w:r>
      <w:r>
        <w:rPr>
          <w:rFonts w:ascii="Times New Roman" w:cs="Times New Roman" w:eastAsia="Times New Roman" w:hAnsi="Times New Roman"/>
          <w:sz w:val="18"/>
          <w:szCs w:val="18"/>
          <w:color w:val="auto"/>
        </w:rPr>
        <w:t>In March 2024, the Company entered into an agreement to sell its Texas generation assets located within the ERCOT market.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associated with the sale are presented as ‘held for sale’ on the Consolidated Balance Sheet as of March 31, 2024 (Successor). The sale closed on May 1, 2024. See Note 17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20"/>
          </w:cols>
          <w:pgMar w:left="320" w:top="121" w:right="359"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Emergence from Restructuring, Fresh Start Accounting, and Reverse Acquisition. </w:t>
      </w:r>
      <w:r>
        <w:rPr>
          <w:rFonts w:ascii="Times New Roman" w:cs="Times New Roman" w:eastAsia="Times New Roman" w:hAnsi="Times New Roman"/>
          <w:sz w:val="18"/>
          <w:szCs w:val="18"/>
          <w:color w:val="auto"/>
        </w:rPr>
        <w:t>In May 2022, TES and 71 of its subsidiaries filed voluntary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relief under Chapter 11 of the U.S. Bankruptcy Code. In December 2022, TEC became an additional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TEC, TES and the other debtors emerged from the Restructuring.</w:t>
      </w:r>
    </w:p>
    <w:p>
      <w:pPr>
        <w:spacing w:after="0" w:line="131"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spacing w:after="0" w:line="11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March 31, 2023; and (ii) the Successor period from January 1 through March 31, 2024. The Interim Financial Statements and Notes thereto have been presented with a black line division to delineate the lack of comparability between the Predecessor and Successor.</w:t>
      </w:r>
    </w:p>
    <w:p>
      <w:pPr>
        <w:spacing w:after="0" w:line="13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on the reverse acquisition, the legal structure of the Restructuring transactions, and the impacts of fresh start accounting.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Share repurchases are accounted for under the cost method, which recognizes the entire cost of the acquired stock,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costs, as a reduction in additional paid-in-capital and are presented as “Treasury stock” on the Consolidated Balance Sheets. Share repurchases made by third party brokers on our behalf are recognized on a trade date basis when we are contractually obligated to pay the broker for their purchase costs.</w:t>
      </w:r>
    </w:p>
    <w:p>
      <w:pPr>
        <w:spacing w:after="0" w:line="126"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Nuclear PTCs. </w:t>
      </w:r>
      <w:r>
        <w:rPr>
          <w:rFonts w:ascii="Times New Roman" w:cs="Times New Roman" w:eastAsia="Times New Roman" w:hAnsi="Times New Roman"/>
          <w:sz w:val="17"/>
          <w:szCs w:val="17"/>
          <w:color w:val="auto"/>
        </w:rPr>
        <w:t>The Nuclear PTC program provides qualified nuclear power generation facilities with transferable credits for electricity produced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first quarter 2024. Additional guidance expected to be issued from the U.S. Treasury and IRS may impact the credit value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21"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in Notes to the Annual Financial Statements for additional information on significant accounting policies.</w:t>
      </w:r>
    </w:p>
    <w:p>
      <w:pPr>
        <w:spacing w:after="0" w:line="167" w:lineRule="exact"/>
        <w:rPr>
          <w:sz w:val="20"/>
          <w:szCs w:val="20"/>
          <w:color w:val="auto"/>
        </w:rPr>
      </w:pPr>
    </w:p>
    <w:p>
      <w:pPr>
        <w:ind w:left="340" w:right="5840" w:hanging="332"/>
        <w:spacing w:after="0" w:line="440" w:lineRule="auto"/>
        <w:tabs>
          <w:tab w:leader="none" w:pos="331"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March 31, 2024 (Successor) range in maturity through 2026. The net notional volumes of open commodity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02"/>
        </w:trPr>
        <w:tc>
          <w:tcPr>
            <w:tcW w:w="8020" w:type="dxa"/>
            <w:vAlign w:val="bottom"/>
          </w:tcPr>
          <w:p>
            <w:pPr>
              <w:spacing w:after="0"/>
              <w:rPr>
                <w:sz w:val="17"/>
                <w:szCs w:val="17"/>
                <w:color w:val="auto"/>
              </w:rPr>
            </w:pPr>
          </w:p>
        </w:tc>
        <w:tc>
          <w:tcPr>
            <w:tcW w:w="16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2024 </w:t>
            </w:r>
            <w:r>
              <w:rPr>
                <w:rFonts w:ascii="Times New Roman" w:cs="Times New Roman" w:eastAsia="Times New Roman" w:hAnsi="Times New Roman"/>
                <w:sz w:val="18"/>
                <w:szCs w:val="18"/>
                <w:b w:val="1"/>
                <w:bCs w:val="1"/>
                <w:color w:val="auto"/>
                <w:w w:val="96"/>
                <w:vertAlign w:val="superscript"/>
              </w:rPr>
              <w:t>(a)</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(28,145,612)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45,959,800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March 31, 2024 (Successor) range in maturity dates through 2026. The net notional volumes of open interest rate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March 31, 2024 (Successor) and December 31, 2023 (Successor) relates to interest rate derivatives for the TLB indebtedness.</w:t>
      </w:r>
    </w:p>
    <w:p>
      <w:pPr>
        <w:spacing w:after="0" w:line="16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2024 (Successor) and December 31, 2023 (Successor).</w:t>
      </w:r>
    </w:p>
    <w:p>
      <w:pPr>
        <w:spacing w:after="0" w:line="1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(Successor), Talen’s aggregate credit exposure, which excludes the effects of netting arrangements, cash collateral, letters of credit and any allowances for doubtful collections, was $299 million and its credit exposure net of such effects was $66 million. Excluding ISO and RTO counterparties, whose accounts receivable settlements are subject to applicable market controls, the ten largest single net credit exposures account for approximately 68% of Talen’s total net credit exposure, which are primarily with entities assigned investment grade credit ratings.</w:t>
      </w:r>
    </w:p>
    <w:p>
      <w:pPr>
        <w:spacing w:after="0" w:line="126"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values of derivative instruments in a net liability position, and that contain credit risk-related contingent features, were non-material as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9"/>
        </w:trPr>
        <w:tc>
          <w:tcPr>
            <w:tcW w:w="47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3"/>
                <w:szCs w:val="23"/>
                <w:color w:val="auto"/>
                <w:vertAlign w:val="superscript"/>
              </w:rPr>
              <w:t>(a)</w:t>
            </w: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80" w:hanging="332"/>
        <w:spacing w:after="0" w:line="278" w:lineRule="auto"/>
        <w:tabs>
          <w:tab w:leader="none" w:pos="33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commodity contracts assets include $3 million presented as “Assets held for sale” on the Consolidated Balance Sheets. See Note 17 for additional information on the ERCOT divestiture.</w:t>
      </w:r>
    </w:p>
    <w:p>
      <w:pPr>
        <w:spacing w:after="0" w:line="12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w:t>
      </w:r>
    </w:p>
    <w:p>
      <w:pPr>
        <w:spacing w:after="0" w:line="12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Effect of Netting</w:t>
      </w:r>
      <w:r>
        <w:rPr>
          <w:rFonts w:ascii="Times New Roman" w:cs="Times New Roman" w:eastAsia="Times New Roman" w:hAnsi="Times New Roman"/>
          <w:sz w:val="18"/>
          <w:szCs w:val="18"/>
          <w:color w:val="auto"/>
        </w:rPr>
        <w:t>. 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March 31, 2024 (Successor) and December 31, 2023 (Successor).</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100" w:type="dxa"/>
            <w:vAlign w:val="bottom"/>
          </w:tcPr>
          <w:p>
            <w:pPr>
              <w:jc w:val="center"/>
              <w:ind w:left="264"/>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2"/>
                <w:szCs w:val="12"/>
                <w:color w:val="auto"/>
              </w:rPr>
            </w:pPr>
          </w:p>
        </w:tc>
        <w:tc>
          <w:tcPr>
            <w:tcW w:w="154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(Posted)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7"/>
                <w:szCs w:val="17"/>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color w:val="auto"/>
                <w:vertAlign w:val="superscript"/>
              </w:rPr>
              <w:t>(a)</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3" w:lineRule="auto"/>
        <w:tabs>
          <w:tab w:leader="none" w:pos="33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Statements of Operations Presentation</w:t>
      </w:r>
      <w:r>
        <w:rPr>
          <w:rFonts w:ascii="Times New Roman" w:cs="Times New Roman" w:eastAsia="Times New Roman" w:hAnsi="Times New Roman"/>
          <w:sz w:val="18"/>
          <w:szCs w:val="18"/>
          <w:color w:val="auto"/>
        </w:rPr>
        <w:t>. The location and pre-tax effect of “Derivative instruments” presented on the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disaggregation of our operating revenues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0" w:type="dxa"/>
            <w:vAlign w:val="bottom"/>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 from customers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PTC and other revenue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0" w:type="dxa"/>
            <w:vAlign w:val="bottom"/>
            <w:tcBorders>
              <w:bottom w:val="single" w:sz="8" w:color="auto"/>
            </w:tcBorders>
            <w:gridSpan w:val="2"/>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See Note 5 for the tax impact of the Nuclear PTC.</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(Successor) and 2023 (Predecessor), there were no significant changes in accounts receivable other than normal receivable recognition and collection transactions. See Note 3 for additional information on Talen's credit risk on the carrying value of its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March 31, 2024 (Successor) and December 31, 2023 (Successor); or (ii) recognized as revenue on the Consolidated Statements of Operations were not material for the three months ended March 31, 2024 (Successor) and 2023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(Successor), the expected future period capacity revenues subject to unsatisfied or partially unsatisfied performance obligations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10 for additional information on the PJM RPM and auctions.</w:t>
      </w:r>
    </w:p>
    <w:p>
      <w:pPr>
        <w:spacing w:after="0" w:line="104"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reconciliations of the effective tax rate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 rate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 credits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16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1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38"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(Successor) and 2023 (Predecessor) differed from the statutory rate primarily due to the change in valuation allowance, additional 20% trust tax on NDT income, and permanent differences including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2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Inventory, net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$7 million of inventory is presented as “Assets held for sale” on the Consolidated Balance Sheet.</w:t>
      </w:r>
    </w:p>
    <w:p>
      <w:pPr>
        <w:spacing w:after="0" w:line="16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coal and fuel oil inventories are presented as "Other operating income (expense), net" on the Consolidated Statements of Operations. Such non-cash charges were non-material for the three months ended March 31, 2024 (Successor) and were $13 million for the three months ended March 31, 2023 (Predecessor).</w:t>
      </w:r>
    </w:p>
    <w:p>
      <w:pPr>
        <w:spacing w:after="0" w:line="12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materials and supplies inventories are presented as "Operation and maintenance" on the Consolidated Statements of Operations. Such non-cash charges were non-material for the three months ended March 31, 2024 (Successor) and were $11 million for the three months ended March 31, 2023 (Predecessor).</w:t>
      </w:r>
    </w:p>
    <w:p>
      <w:pPr>
        <w:spacing w:after="0" w:line="122" w:lineRule="exact"/>
        <w:rPr>
          <w:sz w:val="20"/>
          <w:szCs w:val="20"/>
          <w:color w:val="auto"/>
        </w:rPr>
      </w:pPr>
    </w:p>
    <w:p>
      <w:pPr>
        <w:jc w:val="both"/>
        <w:ind w:right="260" w:firstLine="324"/>
        <w:spacing w:after="0" w:line="282" w:lineRule="auto"/>
        <w:rPr>
          <w:sz w:val="20"/>
          <w:szCs w:val="20"/>
          <w:color w:val="auto"/>
        </w:rPr>
      </w:pPr>
      <w:r>
        <w:rPr>
          <w:rFonts w:ascii="Times New Roman" w:cs="Times New Roman" w:eastAsia="Times New Roman" w:hAnsi="Times New Roman"/>
          <w:sz w:val="18"/>
          <w:szCs w:val="18"/>
          <w:color w:val="auto"/>
        </w:rPr>
        <w:t>Of the above charges incurred during the three months ended March 31, 2023 (Predecessor), $18 million related to Brandon Shores inventories. See Note 8 for additional information on the Brandon Shores recoverability assessment.</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Nuclear Decommissioning Trust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2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the NDT fair value. There were no available-for-sale debt securities with credit losses as of March 31, 2024 (Successor) and December 31, 2023 (Successor).</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March 31, 2024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March 31, 2024 (Successor), the aggregate fair value of these securities was $39 million, and the unrealized losses were non-material.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net </w:t>
            </w:r>
            <w:r>
              <w:rPr>
                <w:rFonts w:ascii="Times New Roman" w:cs="Times New Roman" w:eastAsia="Times New Roman" w:hAnsi="Times New Roman"/>
                <w:sz w:val="23"/>
                <w:szCs w:val="23"/>
                <w:b w:val="1"/>
                <w:bCs w:val="1"/>
                <w:color w:val="auto"/>
                <w:vertAlign w:val="superscript"/>
              </w:rPr>
              <w:t>(a)</w:t>
            </w: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78" w:lineRule="auto"/>
        <w:tabs>
          <w:tab w:leader="none" w:pos="33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$202 million of property, plant and equipment, net is presented as “Assets held for sale” on the Consolidated Balance Sheet.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00276B"/>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00276B"/>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00276B"/>
            </w:tcBorders>
          </w:tcPr>
          <w:p>
            <w:pPr>
              <w:spacing w:after="0"/>
              <w:rPr>
                <w:sz w:val="16"/>
                <w:szCs w:val="16"/>
                <w:color w:val="auto"/>
              </w:rPr>
            </w:pPr>
          </w:p>
        </w:tc>
        <w:tc>
          <w:tcPr>
            <w:tcW w:w="1300" w:type="dxa"/>
            <w:vAlign w:val="bottom"/>
            <w:tcBorders>
              <w:bottom w:val="single" w:sz="8" w:color="00276B"/>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00276B"/>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00276B"/>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9 for additional information.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presented as “Nuclear fuel amortization” on the Consolidated Statements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Reliability Impact Assessments</w:t>
      </w:r>
    </w:p>
    <w:p>
      <w:pPr>
        <w:spacing w:after="0" w:line="173"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Brandon Shores Reliability Impact Assessment. </w:t>
      </w:r>
      <w:r>
        <w:rPr>
          <w:rFonts w:ascii="Times New Roman" w:cs="Times New Roman" w:eastAsia="Times New Roman" w:hAnsi="Times New Roman"/>
          <w:sz w:val="17"/>
          <w:szCs w:val="17"/>
          <w:color w:val="auto"/>
        </w:rPr>
        <w:t>In April 2023, Talen notified PJM that it intends to deactivate electric generation at Brandon Shores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1, 2025. In June 2023, PJM notified Brandon Shores that its generation units were needed for reliability. In April 2024, Brandon Shores filed a cost-of-service rate schedule at FERC for the continued Reliability-Must-Run operation and provision of service from units 1 and 2 at the generation facility. The filed rate schedule sets forth the terms, conditions, and cost-based rates under which Brandon Shores will agree to continue to operate the generation units for reliability purposes from June 1, 2025 through December 31, 2028. No assurance can be provided when, if at all, FERC will approve the filing.</w:t>
      </w:r>
    </w:p>
    <w:p>
      <w:pPr>
        <w:spacing w:after="0" w:line="11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 Wagner Reliability Impact Assessment. </w:t>
      </w:r>
      <w:r>
        <w:rPr>
          <w:rFonts w:ascii="Times New Roman" w:cs="Times New Roman" w:eastAsia="Times New Roman" w:hAnsi="Times New Roman"/>
          <w:sz w:val="18"/>
          <w:szCs w:val="18"/>
          <w:color w:val="auto"/>
        </w:rPr>
        <w:t>In October 2023, Talen notified PJM that it intends to deactivate electric generation at H.A. Wagner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1, 2025. In January 2024, PJM notified H.A. Wagner that its generation units were needed for reliability. In April 2024, H.A. Wagner filed a cost-of-service rate schedule at FERC for the continued Reliability-Must-Run operation and provision of service from units 3 and 4 at the generation facility. The filed rate schedule sets forth the terms, conditions, and cost-based rates under which Wagner will agree to continue to operate the generation units for reliability purposes from June 1, 2025 through December 31, 2028. No assurance can be provided when, if at all, FERC will approve the filing.</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Impairment</w:t>
      </w:r>
    </w:p>
    <w:p>
      <w:pPr>
        <w:spacing w:after="0" w:line="17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Talen canceled its plan to convert Brandon Shores to an oil combustion facility due to an increase in expected conversion costs. This decision triggered a recoverability assessment of the carrying value of the Brandon Shores asset group.</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three months ended March 31, 2023 (Predecessor), a $361 million non-cash pre-tax impairment charge on the asset group’s undepreciated property, plant and equipment is presented as “Impairments”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 and Accrued Environmental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Presented as “Other current liabilities” on the Consolidated Statements of Operations.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three months ended were:</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beginning of period</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end of period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information for the ARO:</w:t>
            </w: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1"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additional information on Susquehanna’s NDT.</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10 for additional information on Talen Montana’s requirement to provide financial assurance related to certain environmental decommissioning and remediation liabilities related to the Colstrip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21" w:right="33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u w:val="single" w:color="auto"/>
          <w:color w:val="auto"/>
        </w:rPr>
        <w:t>ERCOT Weather Event Lawsuits.</w:t>
      </w:r>
      <w:r>
        <w:rPr>
          <w:rFonts w:ascii="Times New Roman" w:cs="Times New Roman" w:eastAsia="Times New Roman" w:hAnsi="Times New Roman"/>
          <w:sz w:val="18"/>
          <w:szCs w:val="18"/>
          <w:color w:val="auto"/>
        </w:rPr>
        <w:t xml:space="preserve"> Beginning in March 2021, the former Talen subsidiaries that at the time owned the Barney Davis, Nueces Bay and Laredo generation facilities were sued in multiple Texas courts along with many other market participants in ERCOT. See Note 17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320" w:top="121" w:right="35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Annual Financial Statements for resolved legal matters.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1"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PJM MOPR</w:t>
      </w:r>
      <w:r>
        <w:rPr>
          <w:rFonts w:ascii="Times New Roman" w:cs="Times New Roman" w:eastAsia="Times New Roman" w:hAnsi="Times New Roman"/>
          <w:sz w:val="18"/>
          <w:szCs w:val="18"/>
          <w:color w:val="auto"/>
        </w:rPr>
        <w:t>. In July 2021, PJM filed proposed tariff language to significantly reduce the application of the existing PJM MOPR by applying it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PJM Market Seller Offer Cap</w:t>
      </w:r>
      <w:r>
        <w:rPr>
          <w:rFonts w:ascii="Times New Roman" w:cs="Times New Roman" w:eastAsia="Times New Roman" w:hAnsi="Times New Roman"/>
          <w:sz w:val="18"/>
          <w:szCs w:val="18"/>
          <w:color w:val="auto"/>
        </w:rPr>
        <w:t>. 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PJM Capacity Market Reform</w:t>
      </w:r>
      <w:r>
        <w:rPr>
          <w:rFonts w:ascii="Times New Roman" w:cs="Times New Roman" w:eastAsia="Times New Roman" w:hAnsi="Times New Roman"/>
          <w:sz w:val="17"/>
          <w:szCs w:val="17"/>
          <w:color w:val="auto"/>
        </w:rPr>
        <w:t>. In February 2023, the PJM Board directed PJM and its stakeholders to resolve: (i) key issues that address the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ERCOT Market Systemic Risks</w:t>
      </w:r>
      <w:r>
        <w:rPr>
          <w:rFonts w:ascii="Times New Roman" w:cs="Times New Roman" w:eastAsia="Times New Roman" w:hAnsi="Times New Roman"/>
          <w:sz w:val="18"/>
          <w:szCs w:val="18"/>
          <w:color w:val="auto"/>
        </w:rPr>
        <w:t>. In January 2023, the PUCT adopted the PUCT PCM market design in response to a directive contained within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21"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Water and Waste</w:t>
      </w:r>
      <w:r>
        <w:rPr>
          <w:rFonts w:ascii="Times New Roman" w:cs="Times New Roman" w:eastAsia="Times New Roman" w:hAnsi="Times New Roman"/>
          <w:sz w:val="18"/>
          <w:szCs w:val="18"/>
          <w:color w:val="auto"/>
        </w:rPr>
        <w:t>. Changes made by the EPA to the EPA CCR Rule and the EPA ELG Rule in 2020 allow coal generation facility operators to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w:t>
      </w:r>
    </w:p>
    <w:p>
      <w:pPr>
        <w:spacing w:after="0" w:line="2" w:lineRule="exact"/>
        <w:rPr>
          <w:sz w:val="20"/>
          <w:szCs w:val="20"/>
          <w:color w:val="auto"/>
        </w:rPr>
      </w:pPr>
    </w:p>
    <w:p>
      <w:pPr>
        <w:ind w:right="240" w:firstLine="8"/>
        <w:spacing w:after="0" w:line="290" w:lineRule="auto"/>
        <w:tabs>
          <w:tab w:leader="none" w:pos="21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320" w:top="121" w:right="359" w:bottom="1440" w:gutter="0" w:footer="0" w:header="0"/>
        </w:sectPr>
      </w:pPr>
    </w:p>
    <w:bookmarkStart w:id="187" w:name="page188"/>
    <w:bookmarkEnd w:id="18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arguments on the emergency applications to stay the rule in February 2024. At this time, Talen cannot predict the long-term outcome of these rule changes on the operations of its generation facilities and its results of operations.</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RGGI</w:t>
      </w:r>
      <w:r>
        <w:rPr>
          <w:rFonts w:ascii="Times New Roman" w:cs="Times New Roman" w:eastAsia="Times New Roman" w:hAnsi="Times New Roman"/>
          <w:sz w:val="18"/>
          <w:szCs w:val="18"/>
          <w:color w:val="auto"/>
        </w:rPr>
        <w:t>. In April 2022, Pennsylvania formally entered the RGGI program, with compliance set to begin on July 1, 2022. However, certain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Federal Climate Change Actions</w:t>
      </w:r>
      <w:r>
        <w:rPr>
          <w:rFonts w:ascii="Times New Roman" w:cs="Times New Roman" w:eastAsia="Times New Roman" w:hAnsi="Times New Roman"/>
          <w:sz w:val="18"/>
          <w:szCs w:val="18"/>
          <w:color w:val="auto"/>
        </w:rPr>
        <w:t>. The current federal administration has identified climate change policy as a priority that includes, but is not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Remediation</w:t>
      </w:r>
      <w:r>
        <w:rPr>
          <w:rFonts w:ascii="Times New Roman" w:cs="Times New Roman" w:eastAsia="Times New Roman" w:hAnsi="Times New Roman"/>
          <w:sz w:val="18"/>
          <w:szCs w:val="18"/>
          <w:color w:val="auto"/>
        </w:rPr>
        <w:t>. 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121" w:right="35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Surety Bonds</w:t>
      </w:r>
      <w:r>
        <w:rPr>
          <w:rFonts w:ascii="Times New Roman" w:cs="Times New Roman" w:eastAsia="Times New Roman" w:hAnsi="Times New Roman"/>
          <w:sz w:val="18"/>
          <w:szCs w:val="18"/>
          <w:color w:val="auto"/>
        </w:rPr>
        <w:t>. 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March 31, 2024 (Successor) and December 31, 2023 (Successor), the aggregate amount of surety bonds outstanding was $241 million and $240 million, including surety bonds posted on behalf of Talen Montana as discussed below.</w:t>
      </w:r>
    </w:p>
    <w:p>
      <w:pPr>
        <w:spacing w:after="0" w:line="129"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Talen Montana Financial Assurance</w:t>
      </w:r>
      <w:r>
        <w:rPr>
          <w:rFonts w:ascii="Times New Roman" w:cs="Times New Roman" w:eastAsia="Times New Roman" w:hAnsi="Times New Roman"/>
          <w:sz w:val="18"/>
          <w:szCs w:val="18"/>
          <w:color w:val="auto"/>
        </w:rPr>
        <w:t>. 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TES has posted an aggregate $118 million of surety bonds to the MDEQ on behalf of Talen Montana’s proportional share of remediation and closure activities as of March 31, 2024 (Successor) and $115 million as of December 31, 2023 (Successor). In April 2024, MDEQ approved a modified work scope that will require Talen Montana to post an additional $7 million of surety bonds or other financial assurance in the second quarter 2024.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31"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Cumulus Digital Assurances</w:t>
      </w:r>
      <w:r>
        <w:rPr>
          <w:rFonts w:ascii="Times New Roman" w:cs="Times New Roman" w:eastAsia="Times New Roman" w:hAnsi="Times New Roman"/>
          <w:sz w:val="18"/>
          <w:szCs w:val="18"/>
          <w:color w:val="auto"/>
        </w:rPr>
        <w:t>. 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repayment in full of the Cumulus Digital TLF in March 2024.</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in March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Nuclear Insurance</w:t>
      </w:r>
      <w:r>
        <w:rPr>
          <w:rFonts w:ascii="Times New Roman" w:cs="Times New Roman" w:eastAsia="Times New Roman" w:hAnsi="Times New Roman"/>
          <w:sz w:val="18"/>
          <w:szCs w:val="18"/>
          <w:color w:val="auto"/>
        </w:rPr>
        <w:t>. The Price-Anderson Act is a United States federal law which governs liability-related issues and ensures the availability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320" w:top="121" w:right="35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Talen Montana Fuel Supply</w:t>
      </w:r>
      <w:r>
        <w:rPr>
          <w:rFonts w:ascii="Times New Roman" w:cs="Times New Roman" w:eastAsia="Times New Roman" w:hAnsi="Times New Roman"/>
          <w:sz w:val="18"/>
          <w:szCs w:val="18"/>
          <w:color w:val="auto"/>
        </w:rPr>
        <w:t>. 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requested an extension of the deadline to complete the updated EIS until June 30, 2025. In April 2024, the District Court granted an extension but only to January 31, 2025.</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ind w:left="400" w:hanging="392"/>
        <w:spacing w:after="0"/>
        <w:tabs>
          <w:tab w:leader="none" w:pos="4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PEDFA 2009B Bonds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PEDFA 2009C Bonds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9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March 31, 2024 (Successor).</w:t>
      </w:r>
    </w:p>
    <w:p>
      <w:pPr>
        <w:spacing w:after="0" w:line="11" w:lineRule="exact"/>
        <w:rPr>
          <w:rFonts w:ascii="Times New Roman" w:cs="Times New Roman" w:eastAsia="Times New Roman" w:hAnsi="Times New Roman"/>
          <w:sz w:val="14"/>
          <w:szCs w:val="14"/>
          <w:color w:val="auto"/>
        </w:rPr>
      </w:pPr>
    </w:p>
    <w:p>
      <w:pPr>
        <w:ind w:left="340" w:right="140" w:hanging="332"/>
        <w:spacing w:after="0" w:line="283" w:lineRule="auto"/>
        <w:tabs>
          <w:tab w:leader="none" w:pos="33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“Guarantees and Other Assurances - Cumulus Digital Assurances” in Note 10 for additional information. The Cumulus Digital TLF was repaid and extinguished in March 2024. See “2024 Transactions – Cumulus Digital TLF Repayment” below for additional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long-term debt maturities, including amortization and early redemption provisions, at March 31, 2024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6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80" w:type="dxa"/>
            <w:vAlign w:val="bottom"/>
          </w:tcPr>
          <w:p>
            <w:pPr>
              <w:spacing w:after="0"/>
              <w:rPr>
                <w:sz w:val="11"/>
                <w:szCs w:val="11"/>
                <w:color w:val="auto"/>
              </w:rPr>
            </w:pPr>
          </w:p>
        </w:tc>
        <w:tc>
          <w:tcPr>
            <w:tcW w:w="920" w:type="dxa"/>
            <w:vAlign w:val="bottom"/>
          </w:tcPr>
          <w:p>
            <w:pPr>
              <w:jc w:val="center"/>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40" w:type="dxa"/>
            <w:vAlign w:val="bottom"/>
          </w:tcPr>
          <w:p>
            <w:pPr>
              <w:spacing w:after="0"/>
              <w:rPr>
                <w:sz w:val="11"/>
                <w:szCs w:val="11"/>
                <w:color w:val="auto"/>
              </w:rPr>
            </w:pPr>
          </w:p>
        </w:tc>
        <w:tc>
          <w:tcPr>
            <w:tcW w:w="940" w:type="dxa"/>
            <w:vAlign w:val="bottom"/>
          </w:tcPr>
          <w:p>
            <w:pPr>
              <w:jc w:val="right"/>
              <w:ind w:right="396"/>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26"/>
                <w:szCs w:val="26"/>
                <w:color w:val="auto"/>
                <w:vertAlign w:val="subscript"/>
              </w:rPr>
              <w:t>RCF</w:t>
            </w:r>
            <w:r>
              <w:rPr>
                <w:rFonts w:ascii="Times New Roman" w:cs="Times New Roman" w:eastAsia="Times New Roman" w:hAnsi="Times New Roman"/>
                <w:sz w:val="10"/>
                <w:szCs w:val="10"/>
                <w:color w:val="auto"/>
              </w:rPr>
              <w:t xml:space="preserve"> (a)</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 LCF</w:t>
            </w:r>
            <w:r>
              <w:rPr>
                <w:rFonts w:ascii="Times New Roman" w:cs="Times New Roman" w:eastAsia="Times New Roman" w:hAnsi="Times New Roman"/>
                <w:sz w:val="10"/>
                <w:szCs w:val="10"/>
                <w:color w:val="auto"/>
              </w:rPr>
              <w:t xml:space="preserve"> (b)(c)(d)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20" w:hanging="332"/>
        <w:spacing w:after="0" w:line="256" w:lineRule="auto"/>
        <w:tabs>
          <w:tab w:leader="none" w:pos="33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 Outstanding direct cash borrowings under the RCF, when applicable, are presented as “Revolving credit facilities” on the Consolidated Balance Sheets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11" w:lineRule="exact"/>
        <w:rPr>
          <w:rFonts w:ascii="Times New Roman" w:cs="Times New Roman" w:eastAsia="Times New Roman" w:hAnsi="Times New Roman"/>
          <w:sz w:val="14"/>
          <w:szCs w:val="14"/>
          <w:color w:val="auto"/>
        </w:rPr>
      </w:pPr>
    </w:p>
    <w:p>
      <w:pPr>
        <w:ind w:left="340" w:right="200" w:hanging="332"/>
        <w:spacing w:after="0" w:line="261" w:lineRule="auto"/>
        <w:tabs>
          <w:tab w:leader="none" w:pos="33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LCs are cash collateralized by $472 million as of March 31, 2024 (Successor) and December 31, 2023 (Successor), which is presented as “Restricted cash and cash equivalents” on the Consolidated Balance Sheets.</w:t>
      </w:r>
    </w:p>
    <w:p>
      <w:pPr>
        <w:ind w:left="320" w:hanging="312"/>
        <w:spacing w:after="0"/>
        <w:tabs>
          <w:tab w:leader="none" w:pos="3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$133 million of LCs backing the PEDFA Bonds as of each of March 31, 2024 (Successor) and December 31, 2023 (Successor).</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was paid in full, together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interest and other outstanding amounts. See “Non-Recourse Debt and Other Credit Facilities – Cumulus Digital TLF” in Note 13 in Notes to the Annual Financial Statements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240"/>
          </w:cols>
          <w:pgMar w:left="320" w:top="121" w:right="339" w:bottom="1440" w:gutter="0" w:footer="0" w:header="0"/>
          <w:type w:val="continuous"/>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 information on the related release of liens, termination of guarantees, and cancellation of LCs. See Note 17 for additional information on the Data Center Campus Sale.</w:t>
      </w:r>
    </w:p>
    <w:p>
      <w:pPr>
        <w:spacing w:after="0" w:line="106"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Long-Term Debt Repricing. </w:t>
      </w:r>
      <w:r>
        <w:rPr>
          <w:rFonts w:ascii="Times New Roman" w:cs="Times New Roman" w:eastAsia="Times New Roman" w:hAnsi="Times New Roman"/>
          <w:sz w:val="17"/>
          <w:szCs w:val="17"/>
          <w:color w:val="auto"/>
        </w:rPr>
        <w:t>In May 2024, the Company completed a repricing transaction with respect to the TLB and TLC. The new rate applicable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w:t>
      </w:r>
    </w:p>
    <w:p>
      <w:pPr>
        <w:spacing w:after="0" w:line="1" w:lineRule="exact"/>
        <w:rPr>
          <w:sz w:val="20"/>
          <w:szCs w:val="20"/>
          <w:color w:val="auto"/>
        </w:rPr>
      </w:pPr>
    </w:p>
    <w:p>
      <w:pPr>
        <w:ind w:right="20" w:firstLine="8"/>
        <w:spacing w:after="0" w:line="255" w:lineRule="auto"/>
        <w:tabs>
          <w:tab w:leader="none" w:pos="2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mandatory prepayment obligations in connection with the Company’s sale of its Texas generation portfolio, and (ii) certain other amendments permitting Talen additional capacity for dispositions, restricted payments and investments under the Credit Agreement. See Note 17 for additional information on the recent sale of our generation assets in Texas.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Long-Term Debt, Revolving Credit and Other Facilities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(Successor), Talen was not in default under any of its indebtedness agreements.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in Note 13 in Notes to the Annual Financial Statements for a description of the material terms of our Credit Facilities, Secured Notes, PEDFA Bonds and Secured IDSAs.</w:t>
      </w:r>
    </w:p>
    <w:p>
      <w:pPr>
        <w:spacing w:after="0" w:line="10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$61 million under Secured ISDAs as of March 31, 2024 (Successor).</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 Government debt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3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112" w:lineRule="exact"/>
        <w:rPr>
          <w:sz w:val="20"/>
          <w:szCs w:val="20"/>
          <w:color w:val="auto"/>
        </w:rPr>
      </w:pPr>
    </w:p>
    <w:p>
      <w:pPr>
        <w:ind w:left="340" w:right="700"/>
        <w:spacing w:after="0" w:line="438" w:lineRule="auto"/>
        <w:rPr>
          <w:sz w:val="20"/>
          <w:szCs w:val="20"/>
          <w:color w:val="auto"/>
        </w:rPr>
      </w:pPr>
      <w:r>
        <w:rPr>
          <w:rFonts w:ascii="Times New Roman" w:cs="Times New Roman" w:eastAsia="Times New Roman" w:hAnsi="Times New Roman"/>
          <w:sz w:val="18"/>
          <w:szCs w:val="18"/>
          <w:color w:val="auto"/>
        </w:rPr>
        <w:t xml:space="preserve">There were no recurring fair value measurements classified as Level 3 as of March 31, 2024 (Successor) and December 31, 2023 (Successor). </w:t>
      </w:r>
      <w:r>
        <w:rPr>
          <w:rFonts w:ascii="Times New Roman" w:cs="Times New Roman" w:eastAsia="Times New Roman" w:hAnsi="Times New Roman"/>
          <w:sz w:val="18"/>
          <w:szCs w:val="18"/>
          <w:b w:val="1"/>
          <w:bCs w:val="1"/>
          <w:i w:val="1"/>
          <w:iCs w:val="1"/>
          <w:color w:val="auto"/>
        </w:rPr>
        <w:t>Nonrecurring Fair Value Measurements</w:t>
      </w:r>
    </w:p>
    <w:p>
      <w:pPr>
        <w:spacing w:after="0" w:line="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There were no nonrecurring fair value measurements related to impairments of long-lived assets during the three months ended March 31, 2024 (Successor). See Note 8 for information on the nonrecurring fair value measurement of Brandon Shores during the three months ended March 31, 2023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are discounted at the estimated current cost of funding rates, which incorporates the credit risk associated with the obligations. The carrying value of variable rate indebtedness approximates fair value.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20" w:type="dxa"/>
            <w:vAlign w:val="bottom"/>
          </w:tcPr>
          <w:p>
            <w:pPr>
              <w:jc w:val="center"/>
              <w:ind w:left="422"/>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30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Postretirement Benefit Obligations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Postretirement benefits service cost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(b)</w:t>
            </w: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“Operation, maintenance and development” on the Consolidated Statements of Operations.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“Other non-operating income (expense), net” on the Consolidated Statements of Operations.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pending litigation regarding certain of our defined benefit pension obligations.</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three months ended March 31, 2024 (Successor) and presented as “Other non-operating income (expense), net” on the Consolidated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three months ended March 31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 of Dollars)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48</w:t>
            </w:r>
          </w:p>
        </w:tc>
      </w:tr>
      <w:tr>
        <w:trPr>
          <w:trHeight w:val="21"/>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46"/>
        </w:trPr>
        <w:tc>
          <w:tcPr>
            <w:tcW w:w="7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Diluted EPS during the three months ended March 31, 2024 (Successor) excludes the impact of 10,125 restricted stock units (“RSUs”) outstanding due to their anti-dilutive nature.</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(Successor) the Company repurchased 493,000 shares of common stock for $39 million at a weighted average per share price of $78.31.</w:t>
      </w:r>
    </w:p>
    <w:p>
      <w:pPr>
        <w:spacing w:after="0" w:line="1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AOCI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Borders>
              <w:bottom w:val="single" w:sz="8" w:color="003A6D"/>
            </w:tcBorders>
          </w:tcPr>
          <w:p>
            <w:pPr>
              <w:spacing w:after="0"/>
              <w:rPr>
                <w:sz w:val="19"/>
                <w:szCs w:val="19"/>
                <w:color w:val="auto"/>
              </w:rPr>
            </w:pPr>
          </w:p>
        </w:tc>
        <w:tc>
          <w:tcPr>
            <w:tcW w:w="40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Reclassification adjustments from AOCI to the Consolidated Statements of Operations were non-material amounts for the three months ended March 31, 2024, (Successor) and 2023 (Predecessor).</w:t>
      </w:r>
    </w:p>
    <w:p>
      <w:pPr>
        <w:spacing w:after="0" w:line="10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 Operations: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deferred finance costs and original issuance discounts (interest expense)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decrease to other current assets for transfer of miners by Cumulus Coin </w:t>
            </w:r>
            <w:r>
              <w:rPr>
                <w:rFonts w:ascii="Times New Roman" w:cs="Times New Roman" w:eastAsia="Times New Roman" w:hAnsi="Times New Roman"/>
                <w:sz w:val="23"/>
                <w:szCs w:val="23"/>
                <w:color w:val="auto"/>
                <w:vertAlign w:val="superscript"/>
              </w:rPr>
              <w:t>(c)</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decrease to PP&amp;E and decrease to noncontrolling interest for transfer of miners to TeraWulf</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increase to noncontrolling interest for transfer of miners by TeraWulf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$3 million and $8 million for the three months ended March 31, 2024 (Successor) and 2023 (Predecessor).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54"/>
        </w:trPr>
        <w:tc>
          <w:tcPr>
            <w:tcW w:w="8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Cumulus Digital Holdings restricted deposits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ERCOT Asset Sale. </w:t>
      </w:r>
      <w:r>
        <w:rPr>
          <w:rFonts w:ascii="Times New Roman" w:cs="Times New Roman" w:eastAsia="Times New Roman" w:hAnsi="Times New Roman"/>
          <w:sz w:val="18"/>
          <w:szCs w:val="18"/>
          <w:color w:val="auto"/>
        </w:rPr>
        <w:t>In March 2024, the Company and CPS Energy entered into an agreement for CPS Energy to acquire the Company’s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1,710 MW Texas generation portfolio located within the ERCOT market for $785 million, subject to customary net working capital adjustments. Under the terms of the sale, there is no contingent consideration associated with the transfer of assets. The sale closed on May 1, 2024. Under the terms of the sale, CPS Energy acquired the Barney Davis, Nueces Bay, and Laredo generation facilities and certain related contracts. The Company is providing certain customary back-office and information technology transitional services to CPS Energy for up to 90 days after the sale.</w:t>
      </w:r>
    </w:p>
    <w:p>
      <w:pPr>
        <w:spacing w:after="0" w:line="13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 assets and liabilities associated with the sale are presented as held for sale on the Consolidated Balance Sheet. “Assets held for sale” primarily represent the carrying value of property, plant and equipment, net and “Liabilities held for sale” primarily represent accounts payable and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Cumulus Data Campus Sale. </w:t>
      </w:r>
      <w:r>
        <w:rPr>
          <w:rFonts w:ascii="Times New Roman" w:cs="Times New Roman" w:eastAsia="Times New Roman" w:hAnsi="Times New Roman"/>
          <w:sz w:val="18"/>
          <w:szCs w:val="18"/>
          <w:color w:val="auto"/>
        </w:rPr>
        <w:t>In March 2024, an affiliate of Amazon.com, Inc. (together with its affiliates, “Amazon”) purchased substantially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of Cumulus Data and certain other assets for gross proceeds of $650 million. Gross proceeds of $350 million were initially received at closing with the remaining $300 million of variable consideration, presented as “Other current assets” on the Consolidated Balance Sheet, expected to be received from escrow at the completion of certain development milestones. Cumulus Digital Holdings distributed $109 million of the initial net proceeds from the sale to its members, including $108 million to TES.</w:t>
      </w:r>
    </w:p>
    <w:p>
      <w:pPr>
        <w:spacing w:after="0" w:line="13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entered into a power purchase agreement with Amazon, pursuant to which (i) the Company agreed to supply up to 960 MW of long-term, carbon-free power to the Cumulus Data Campus from Susquehanna; (ii) the parties agreed to fixed-price power commitments that increase in 120 MW increments over several years; and (iii) Amazon, under certain conditions, has the option to cap their commitments at 480 MW. Amazon also became lessor under the ground lease agreement with Nautilus.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(Successor), a $324 million net gain on sale is presented as “Gain (loss) on sale of assets, net” on the Consolidated Statements of Operations.</w:t>
      </w:r>
    </w:p>
    <w:p>
      <w:pPr>
        <w:spacing w:after="0" w:line="106"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certain royalty payments from existing and future producing natural gas wells. For the three months ended March 31, 2024 (Predecessor), a $29 million gain was presented as “Other non-operating income (expense), net” on the Consolidated Statements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Noncontrolling Interests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an aggregate $39 million. Following these transactions, TES owns 100% of the equity of Cumulus Digital Holdings.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Cancelled Acquisition</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would abandon its 25% share of Colstrip Units 3 and 4 to Talen Montana for no cash consideration. In February 2024, Puget Sound sent a notice asserting that Talen Montana was in breach of the agreement for failing to obtain Bankruptcy Court approval and that the agreement is unenforceable. Talen Montana has agreed that the agreement is unenforceable and disputed that it breached the agreement. Accordingly, it is unlikely that this transaction will be consummated.</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280" w:hanging="328"/>
        <w:spacing w:after="0" w:line="28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 our reportable segments; (ii) the development activities of Cumulus Growth;</w:t>
      </w:r>
    </w:p>
    <w:p>
      <w:pPr>
        <w:ind w:right="20" w:firstLine="8"/>
        <w:spacing w:after="0" w:line="260" w:lineRule="auto"/>
        <w:tabs>
          <w:tab w:leader="none" w:pos="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operating activities of Cumulus Digital; (iv) 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 (Successor)</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2023 (Predecessor)</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29"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Impairments, canceled projects, inventory net realizable value and obsolescence, and receivables allowance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May 13, 2024, the date the financial statements are available to be issued. All significant subsequent events are included in their respective notes to the financial statements, except as noted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May 9, 2024, the Board of Directors approved an increase of the remaining capacity under the Company’s share repurchase program to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121" w:right="45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Talen Energy Corporation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Corporation and its subsidiaries (Successor) (the “Company”) as of December 31, 2023, and the related consolidated statements of operations, comprehensive income (loss), equity and cash flows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period from May 18, 2023 through December 31, 2023 in conformity with accounting principles generally accepted in the United States of America.</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9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Commodity Derivatives Valuation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Notes 2, 5 and 14 to the consolidated financial statements, the Company had a fair value net derivative asset position of $95 million and a fair value net derivative liability position of $43 million, as of December 31, 2023.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2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w:t>
      </w:r>
    </w:p>
    <w:p>
      <w:pPr>
        <w:spacing w:after="0" w:line="1" w:lineRule="exact"/>
        <w:rPr>
          <w:sz w:val="20"/>
          <w:szCs w:val="20"/>
          <w:color w:val="auto"/>
        </w:rPr>
      </w:pPr>
    </w:p>
    <w:p>
      <w:pPr>
        <w:ind w:firstLine="8"/>
        <w:spacing w:after="0" w:line="253" w:lineRule="auto"/>
        <w:tabs>
          <w:tab w:leader="none" w:pos="2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right="4140"/>
        <w:spacing w:after="0" w:line="448" w:lineRule="auto"/>
        <w:rPr>
          <w:sz w:val="20"/>
          <w:szCs w:val="20"/>
          <w:color w:val="auto"/>
        </w:rPr>
      </w:pPr>
      <w:r>
        <w:rPr>
          <w:rFonts w:ascii="Times New Roman" w:cs="Times New Roman" w:eastAsia="Times New Roman" w:hAnsi="Times New Roman"/>
          <w:sz w:val="18"/>
          <w:szCs w:val="18"/>
          <w:color w:val="auto"/>
        </w:rPr>
        <w:t>March 14, 2024, except for the financial statement schedule, as to which the date is April 4, 2024 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121" w:right="439" w:bottom="1440" w:gutter="0" w:footer="0" w:header="0"/>
        </w:sectPr>
      </w:pPr>
    </w:p>
    <w:bookmarkStart w:id="202" w:name="page203"/>
    <w:bookmarkEnd w:id="202"/>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Managers and Members of Talen Energy Supply, LLC</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Supply, LLC and its subsidiaries (Predecessor) (the “Company”) as of December 31, 2022 and the related consolidated statements of operations, comprehensive income (loss), equity and cash flows for the period from January 1, 2023 through May 17, 2023 and for each of the two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period from January 1, 2023 through May 17, 2023, and for each of the two years in the period ended December 31, 2022 in conformity with accounting principles generally accepted in the United States of America.</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21" w:right="359" w:bottom="1440" w:gutter="0" w:footer="0" w:header="0"/>
        </w:sectPr>
      </w:pPr>
    </w:p>
    <w:bookmarkStart w:id="203" w:name="page204"/>
    <w:bookmarkEnd w:id="20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Fresh start accounting - valuation of electric generation assets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above and in Notes 3 and 4 to the consolidated financial statements, in May 2022, Talen Energy Supply, LLC (TES) and the other initial Debtors filed voluntary petitions seeking relief under Chapter 11 of the Bankruptcy Code. The Plan of Reorganization was approved by the requisite parties in November 2022, was confirmed by the Bankruptcy Court in December 2022, and was consummated and became effective in May 2023, when the Debtors emerged from the Restructuring. Upon emergence, TES adopted fresh start accounting and allocated the reorganization value to its individual assets based on their estimated fair values. 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The present value of expected future cash flows utilized a weighted average cost of capital discount rate. The Company recorded fresh start adjustments for the period from January 1, 2023 through May 17, 203, which included $350 million related to electric generation assets recorded within property, plant and equipment, net.</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fresh start accounting – valuation of electric generation assets is a critical audit matter are (i) the significant judgment by management in developing the fair value estimate of electric generation assets; (ii) the high degree of auditor judgment and effort in performing procedures and evaluating management’s significant assumptions related to plant dispatch, capital expenditures, forward energy prices, and the weighted average cost of capital discount rate; and (iii) the audit effort involved the use of professionals with specialized skill and knowledge.</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electric generation assets; ii) evaluating the appropriateness of management’s discounted cash flow models; (iii) testing the completeness and accuracy of underlying data used by management in the models, (iv) evaluating the reasonableness of management’s significant assumptions related to plant dispatch, capital expenditures, forward energy prices, and the weighted average cost of capital discount rate. Evaluating management’s assumptions related to plant dispatch, capital expenditures, forward energy prices, and the weighted average cost of capital discount rate involved evaluating whether the assumptions used by management were reasonable considering (a) the current and past performance of the assets; (b) the consistency with external market and industry data; and (c) whether these assumptions were consistent with evidence obtained in other areas of the audit. Professionals with specialized skill and knowledge were used to assist in evaluating (i) the appropriateness of the models used and (ii) the reasonableness of the forward energy prices and the weighted average cost of capital discount rate assumptions.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21" w:right="35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Capacity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928</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Energy Expenses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amortization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(817)</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maintenance and development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Operational restructuring</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(1,100)</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funds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and other finance charges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income (expense),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0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Common Share (Successor)</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7"/>
        </w:trPr>
        <w:tc>
          <w:tcPr>
            <w:tcW w:w="5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Common Shares Outstanding - Basic (in</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59,029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4"/>
                <w:szCs w:val="14"/>
                <w:color w:val="auto"/>
              </w:rPr>
            </w:pPr>
          </w:p>
        </w:tc>
        <w:tc>
          <w:tcPr>
            <w:tcW w:w="1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5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Weighted-Average Number of Common Shares Outstanding - Diluted (in</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Gains (losses) arising during the period, net of tax</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Qualifying derivatives unrealized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Postretirement benefit prior service (credits) costs,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Reclassifications from AOCI, net of tax</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 (Successor)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(1,304)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4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Member (Predecessor)</w:t>
            </w: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21"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84"/>
        </w:trPr>
        <w:tc>
          <w:tcPr>
            <w:tcW w:w="79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40" w:type="dxa"/>
            <w:vAlign w:val="bottom"/>
          </w:tcPr>
          <w:p>
            <w:pPr>
              <w:spacing w:after="0"/>
              <w:rPr>
                <w:sz w:val="16"/>
                <w:szCs w:val="16"/>
                <w:color w:val="auto"/>
              </w:rPr>
            </w:pPr>
          </w:p>
        </w:tc>
        <w:tc>
          <w:tcPr>
            <w:tcW w:w="13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20)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9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 (Notes 13 and 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 (Note 4)</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11)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94"/>
        </w:trPr>
        <w:tc>
          <w:tcPr>
            <w:tcW w:w="7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(Successor) / Member’s (Predecessor)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 $0.001 par value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(Note 16)</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Stockholders’(Successor) / Member’s (Predecessor)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40"/>
          </w:cols>
          <w:pgMar w:left="320" w:top="121" w:right="339" w:bottom="1440"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consolidation of Cumulus Digital Holdings</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Nuclear decommissioning trust funds (gain) loss, net (excluding interest and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cash and restricted cash due to consolidation of</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member</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Financings proceeds, net of discount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Prepetition Secured Indebtedness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make-whole premiums on Prepetition Secured Indebtedness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Facilities proceeds, net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TLB proceeds,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Deferred Capacity Obligation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proceeds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 repayments, net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warrants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Riverstone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in Notes to the Annual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of Dollars, except share data)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 xml:space="preserve">shares </w:t>
            </w:r>
            <w:r>
              <w:rPr>
                <w:rFonts w:ascii="Times New Roman" w:cs="Times New Roman" w:eastAsia="Times New Roman" w:hAnsi="Times New Roman"/>
                <w:sz w:val="16"/>
                <w:szCs w:val="16"/>
                <w:b w:val="1"/>
                <w:bCs w:val="1"/>
                <w:color w:val="auto"/>
                <w:w w:val="89"/>
                <w:vertAlign w:val="superscript"/>
              </w:rPr>
              <w:t>(a)</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earnings (deficit)</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 (Predecessor)</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consolidation of affiliate</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subsidiary</w:t>
            </w: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distribution to member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contribution from member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218"/>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Cancellation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warrants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equity from member’s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exchange</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Non-cash contributions </w:t>
            </w:r>
            <w:r>
              <w:rPr>
                <w:rFonts w:ascii="Times New Roman" w:cs="Times New Roman" w:eastAsia="Times New Roman" w:hAnsi="Times New Roman"/>
                <w:sz w:val="21"/>
                <w:szCs w:val="21"/>
                <w:color w:val="auto"/>
                <w:vertAlign w:val="superscript"/>
              </w:rPr>
              <w:t>(c)</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net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4"/>
        </w:trPr>
        <w:tc>
          <w:tcPr>
            <w:tcW w:w="3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17, 2023 (Predecessor)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18, 2023 (Successor)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7"/>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NCI</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 (Successor)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Plan of Reorganization: (i) existing equity interests were canceled; and (ii) new equity interests and equity-classified warrants were issued.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a distribution of cryptocurrency mining machines or Bitcoin to TeraWulf.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THE ANNUAL FINANCIAL STATEMENTS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Annual Financial Statements are defined in the glossary. Dollars are in millions, unless otherwise noted.</w:t>
      </w:r>
    </w:p>
    <w:p>
      <w:pPr>
        <w:spacing w:after="0" w:line="108"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“Reverse Acquisition” in Note 2 for information on an accounting reverse acquisition that occurred at Emergence.</w:t>
      </w:r>
    </w:p>
    <w:p>
      <w:pPr>
        <w:spacing w:after="0" w:line="1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10" w:lineRule="exact"/>
        <w:rPr>
          <w:sz w:val="20"/>
          <w:szCs w:val="20"/>
          <w:color w:val="auto"/>
        </w:rPr>
      </w:pPr>
    </w:p>
    <w:p>
      <w:pPr>
        <w:ind w:left="360" w:hanging="352"/>
        <w:spacing w:after="0"/>
        <w:tabs>
          <w:tab w:leader="none" w:pos="3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reducing the carbon profile of our fleet through conversions and retirements of wholly-owned coal facilities. In addition, we are developing a hyperscale data center campus adjacent to our zero-carbon Susquehanna nuclear facility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December 31, 2023 (Successor), our generation capacity was 12,374 MW (summer rating). Talen is headquartered in Houston, Texas.</w:t>
      </w:r>
    </w:p>
    <w:p>
      <w:pPr>
        <w:spacing w:after="0" w:line="134" w:lineRule="exact"/>
        <w:rPr>
          <w:sz w:val="20"/>
          <w:szCs w:val="20"/>
          <w:color w:val="auto"/>
        </w:rPr>
      </w:pPr>
    </w:p>
    <w:p>
      <w:pPr>
        <w:ind w:left="360" w:hanging="352"/>
        <w:spacing w:after="0"/>
        <w:tabs>
          <w:tab w:leader="none" w:pos="3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spacing w:after="0" w:line="124" w:lineRule="exact"/>
        <w:rPr>
          <w:sz w:val="20"/>
          <w:szCs w:val="20"/>
          <w:color w:val="auto"/>
        </w:rPr>
      </w:pPr>
    </w:p>
    <w:p>
      <w:pPr>
        <w:jc w:val="both"/>
        <w:ind w:right="16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Fresh Start Accounting</w:t>
      </w:r>
      <w:r>
        <w:rPr>
          <w:rFonts w:ascii="Times New Roman" w:cs="Times New Roman" w:eastAsia="Times New Roman" w:hAnsi="Times New Roman"/>
          <w:sz w:val="17"/>
          <w:szCs w:val="17"/>
          <w:color w:val="auto"/>
        </w:rPr>
        <w:t>. After Emergence, TES applied fresh start accounting, which resulted in a new basis of accounting as the Company became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w:t>
      </w:r>
    </w:p>
    <w:p>
      <w:pPr>
        <w:spacing w:after="0" w:line="1"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Accordingly, the financial results are presented for: (i) the Predecessor period from January 1 through May 17, 2023; and (ii) the Successor period from May 18 through December 31, 2023. The Annual Financial Statements and Notes thereto have been presented with a black line division to delineate the lack of comparability between the Predecessor and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20"/>
          </w:cols>
          <w:pgMar w:left="320" w:top="121" w:right="35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Reverse Acquisition</w:t>
      </w:r>
      <w:r>
        <w:rPr>
          <w:rFonts w:ascii="Times New Roman" w:cs="Times New Roman" w:eastAsia="Times New Roman" w:hAnsi="Times New Roman"/>
          <w:sz w:val="18"/>
          <w:szCs w:val="18"/>
          <w:color w:val="auto"/>
        </w:rPr>
        <w:t>. In May 2022, TEC deconsolidated TES for financial reporting purposes because TEC no longer controlled the activities of 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TES and the other initial Debtors filed voluntary petitions seeking relief under Chapter 11 of the Bankruptcy Code. Under the terms of the Restructuring, TEC regained control of TES at Emergence, which resulted in TEC’s reconsolidation of TES. The combination was accounted for as a reverse acquisition in which TEC was the legal acquirer and TES was the accounting acquirer. Such conclusion was based on an assessment of the Plan of Reorganization’s economic substance, in which certain creditors of TES effectively equitized their claims against TES into the controlling equity interests of TES, which were then exchanged for the controlling equity interests of TEC. Specifically, a conversion of $2.3 billion of member’s equity of TES into 59,028,843 shares of new TEC common stock and equity-classified warrants to purchase common stock issued in accordance with the Plan of Reorganization, which is presented as “Common equity from member’s equity exchange” in the Consolidated Statements of Equity.</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Accordingly, our Annual Financial Statements are issued under the name of TEC, the legal parent of TES and accounting acquiree, but represent the continuation of the financial statements of TES, the accounting acquirer. This accounting acquirer determination was primarily based on the following facts and circumstances: (i) TES operations comprise substantially all of the ongoing operations of the combined entity; (ii) certain former TES creditors received substantially all voting interests of the combined entity; (iii) certain former TES creditors assumed the power to appoint or remove board members of the combined entity; (iv) TES employs senior management and all employees of the combined entity; and (v) TEC, prior to Emergence, did not have any operations or material assets separate from TES.</w:t>
      </w:r>
    </w:p>
    <w:p>
      <w:pPr>
        <w:spacing w:after="0" w:line="13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economic substance and related accounting were also used in the determination of fresh start accounting applicability. See Note 4 for additional information on fresh start accounting. See Note 3 for additional information on the legal structure of the Restructuring transactions.</w:t>
      </w:r>
    </w:p>
    <w:p>
      <w:pPr>
        <w:spacing w:after="0" w:line="10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Consolidation of an Affiliate’s Subsidiary</w:t>
      </w:r>
      <w:r>
        <w:rPr>
          <w:rFonts w:ascii="Times New Roman" w:cs="Times New Roman" w:eastAsia="Times New Roman" w:hAnsi="Times New Roman"/>
          <w:sz w:val="18"/>
          <w:szCs w:val="18"/>
          <w:color w:val="auto"/>
        </w:rPr>
        <w:t>. In September 2022, TES and its Talen Growth subsidiary exchanged their preferred units in Cumulus 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and Cumulus Data Holdings for common units in Cumulus Digital Holdings. Cumulus Coin Holdings and Cumulus Data Holdings were then consolidated by TEC. Following the consummation of the exchange and other related transactions, TES became the primary beneficiary of Cumulus Digital Holdings, a VIE, due to its ability to control the activities that most significantly impact Cumulus Digital Holdings. Accordingly, Cumulus Digital Holdings and its subsidiaries were consolidated by TES as of September 30, 2022. The difference between: (i) the fair value of Cumulus Digital Holdings and its subsidiaries; and (ii) the carrying value of preferred units immediately before the exchange resulted in a loss of $170 million presented as “Consolidation of subsidiary gain (loss)” on the Consolidated Statements of Operations for the year ended December 31, 2022 (Predecessor).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121" w:right="35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Effects. </w:t>
      </w:r>
      <w:r>
        <w:rPr>
          <w:rFonts w:ascii="Times New Roman" w:cs="Times New Roman" w:eastAsia="Times New Roman" w:hAnsi="Times New Roman"/>
          <w:sz w:val="18"/>
          <w:szCs w:val="18"/>
          <w:color w:val="auto"/>
        </w:rPr>
        <w:t>Prepetition liabilities and obligations whose treatment and satisfaction were dependent on the outcome of the Restructuring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 Additionally, any income, expenses, gains or losses that were incurred or realized as a direct result of the Restructuring since the Petition Date are presented as “Reorganization income (expense), net” on the Consolidated Statements of Operations.</w:t>
      </w:r>
    </w:p>
    <w:p>
      <w:pPr>
        <w:spacing w:after="0" w:line="13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the Petition Date, the Talen Filing Parties ceased recognizing interest expense on certain outstanding unsecured or under-secured prepetition indebtedness. Contractual interest expense represented amounts due under the terms of outstanding prepetition indebtedness. See Note 13 for information on this contractual interest.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w:t>
      </w:r>
    </w:p>
    <w:p>
      <w:pPr>
        <w:spacing w:after="0" w:line="16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and Derivatives. </w:t>
      </w:r>
      <w:r>
        <w:rPr>
          <w:rFonts w:ascii="Times New Roman" w:cs="Times New Roman" w:eastAsia="Times New Roman" w:hAnsi="Times New Roman"/>
          <w:sz w:val="18"/>
          <w:szCs w:val="18"/>
          <w:color w:val="auto"/>
        </w:rPr>
        <w:t>Talen carries a portion of its assets and liabilities at fair value that are measured at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that are unobservable inputs that are significant to the fair value of assets or liabilities.</w:t>
      </w:r>
    </w:p>
    <w:p>
      <w:pPr>
        <w:spacing w:after="0" w:line="13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classification of an asset or liability is based on the lowest level of input significant to its fair value. Those that are initially classified as Level 3 are subsequently reported as Level 2 when the fair value derived from unobservable inputs is inconsequential to the overall fair value, or if corroborated market data becomes available. Assets and liabilities initially reported as Level 2 are subsequently reported as Level 3 if corroborated market data is no longer available. Transfers occur at the end of the reporting period. Level 3 positions at December 31, 2023 (Successor) and December 31, 2022 (Predecessor) were not material.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10, 14 and 15 for fair value disclosures.</w:t>
      </w:r>
    </w:p>
    <w:p>
      <w:pPr>
        <w:spacing w:after="0" w:line="169" w:lineRule="exact"/>
        <w:rPr>
          <w:sz w:val="20"/>
          <w:szCs w:val="20"/>
          <w:color w:val="auto"/>
        </w:rPr>
      </w:pPr>
    </w:p>
    <w:p>
      <w:pPr>
        <w:ind w:right="20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Revenues and Revenue Recognition. </w:t>
      </w:r>
      <w:r>
        <w:rPr>
          <w:rFonts w:ascii="Times New Roman" w:cs="Times New Roman" w:eastAsia="Times New Roman" w:hAnsi="Times New Roman"/>
          <w:sz w:val="17"/>
          <w:szCs w:val="17"/>
          <w:color w:val="auto"/>
        </w:rPr>
        <w:t>Operating revenues on the Consolidated Statements of Operations are primarily comprised of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as: (i) “Capacity revenues;" (ii) “Energy revenues;” and (iii) “Unrealized gain (loss) on derivative instruments” for certain electricity contracts.</w:t>
      </w:r>
    </w:p>
    <w:p>
      <w:pPr>
        <w:spacing w:after="0" w:line="8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Capacity revenues.</w:t>
      </w:r>
      <w:r>
        <w:rPr>
          <w:rFonts w:ascii="Times New Roman" w:cs="Times New Roman" w:eastAsia="Times New Roman" w:hAnsi="Times New Roman"/>
          <w:sz w:val="18"/>
          <w:szCs w:val="18"/>
          <w:color w:val="auto"/>
        </w:rPr>
        <w:t xml:space="preserve"> 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Energy revenues.</w:t>
      </w:r>
      <w:r>
        <w:rPr>
          <w:rFonts w:ascii="Times New Roman" w:cs="Times New Roman" w:eastAsia="Times New Roman" w:hAnsi="Times New Roman"/>
          <w:sz w:val="18"/>
          <w:szCs w:val="18"/>
          <w:color w:val="auto"/>
        </w:rPr>
        <w:t xml:space="preserve"> Primarily includes: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Sales of wholesale electricity to bilateral counterparties represent performance obligations recognized over a contractually agreed period of time based on volumes delivered at the contractually agreed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121" w:right="359" w:bottom="1440" w:gutter="0" w:footer="0" w:header="0"/>
        </w:sectPr>
      </w:pPr>
    </w:p>
    <w:bookmarkStart w:id="213" w:name="page214"/>
    <w:bookmarkEnd w:id="21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Sales of electric generation, ancillary services, and wholesale electricity to bilateral counterparties are recognized based on invoiced amounts which corresponds directly with the value provided over a specific time interval.</w:t>
      </w:r>
    </w:p>
    <w:p>
      <w:pPr>
        <w:spacing w:after="0" w:line="10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spacing w:after="0" w:line="12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29"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2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Nautilus Revenue Recognition and Remeasurement.</w:t>
      </w:r>
      <w:r>
        <w:rPr>
          <w:rFonts w:ascii="Times New Roman" w:cs="Times New Roman" w:eastAsia="Times New Roman" w:hAnsi="Times New Roman"/>
          <w:sz w:val="18"/>
          <w:szCs w:val="18"/>
          <w:color w:val="auto"/>
        </w:rPr>
        <w:t xml:space="preserve"> 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w:t>
      </w:r>
    </w:p>
    <w:p>
      <w:pPr>
        <w:spacing w:after="0" w:line="12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Bitcoin amounts held by Nautilus are: (i) accounted for as intangible assets with indefinite useful lives; (ii) sold on a first-in-first-out basis; and (iii) measured for impairment whenever indicators of impairment are identified based on its lowest intraday quoted Bitcoin price in Nautilus’s principal market for Bitcoin held at the end of each day. To the extent an impairment loss is recognized, a new carrying value is established. Bitcoin held at any individual reporting period is not material because the joint venture agreements require Nautilus to liquidate Bitcoin to support its operations and distribute excess Bitcoin, or proceeds from excess Bitcoin sales, to the joint venture owners no less frequently than once every two weeks. Accordingly, impairments and the gains or loss from Bitcoin sales are not material. See ASU 2023-08 under “Recent Accounting Pronouncements, Not Yet Adopted” for changes to accounting for Bitcoin.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on revenue.</w:t>
      </w:r>
    </w:p>
    <w:p>
      <w:pPr>
        <w:spacing w:after="0" w:line="169" w:lineRule="exact"/>
        <w:rPr>
          <w:sz w:val="20"/>
          <w:szCs w:val="20"/>
          <w:color w:val="auto"/>
        </w:rPr>
      </w:pPr>
    </w:p>
    <w:p>
      <w:pPr>
        <w:ind w:right="14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Energy Expenses. </w:t>
      </w:r>
      <w:r>
        <w:rPr>
          <w:rFonts w:ascii="Times New Roman" w:cs="Times New Roman" w:eastAsia="Times New Roman" w:hAnsi="Times New Roman"/>
          <w:sz w:val="17"/>
          <w:szCs w:val="17"/>
          <w:color w:val="auto"/>
        </w:rPr>
        <w:t>Energy expenses on the Consolidated Statements of Operations are primarily comprised of items presented as: (i) "Fuel and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(ii) "Nuclear fuel amortization;" and (iii) "Unrealized gain (loss) on derivative instruments" for certain commodity purchase contracts.</w:t>
      </w:r>
    </w:p>
    <w:p>
      <w:pPr>
        <w:spacing w:after="0" w:line="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Fuel and energy purchases.</w:t>
      </w:r>
      <w:r>
        <w:rPr>
          <w:rFonts w:ascii="Times New Roman" w:cs="Times New Roman" w:eastAsia="Times New Roman" w:hAnsi="Times New Roman"/>
          <w:sz w:val="18"/>
          <w:szCs w:val="18"/>
          <w:color w:val="auto"/>
        </w:rPr>
        <w:t xml:space="preserve"> Primarily includes: (i) fuel costs; (ii) environmental product costs; and (iii) realized gain (loss) on commodity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20"/>
          </w:cols>
          <w:pgMar w:left="320" w:top="121" w:right="359" w:bottom="1440" w:gutter="0" w:footer="0" w:header="0"/>
        </w:sectPr>
      </w:pPr>
    </w:p>
    <w:bookmarkStart w:id="214" w:name="page215"/>
    <w:bookmarkEnd w:id="21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12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fuel and environmental product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above for additional information on realized gains and losses on derivative instruments presented as “Energy revenues” on the Consolidated Statements of Operations.</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Nuclear fuel amortization.</w:t>
      </w:r>
      <w:r>
        <w:rPr>
          <w:rFonts w:ascii="Times New Roman" w:cs="Times New Roman" w:eastAsia="Times New Roman" w:hAnsi="Times New Roman"/>
          <w:sz w:val="18"/>
          <w:szCs w:val="18"/>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above for additional information on unrealized gains and losses of derivative instruments presented as "Operating Revenues" on the Consolidated Statements of Operations.</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The fair value of derivative contracts required to be measured at fair value are presented as “Derivative instruments”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spacing w:after="0" w:line="13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charges” on the Consolidated Statements of Operations.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5 and 14 for additional information on the presentation of derivative contracts and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00"/>
          </w:cols>
          <w:pgMar w:left="320" w:top="121" w:right="37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 Maintenance and Development. </w:t>
      </w:r>
      <w:r>
        <w:rPr>
          <w:rFonts w:ascii="Times New Roman" w:cs="Times New Roman" w:eastAsia="Times New Roman" w:hAnsi="Times New Roman"/>
          <w:sz w:val="18"/>
          <w:szCs w:val="18"/>
          <w:color w:val="auto"/>
        </w:rPr>
        <w:t>The costs of removal, repairs, maintenance, and other operating costs, pre-commercial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Data.</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TEC grants performance stock units and restricted stock units to certain employees and non-employee directors.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performance stock units is estimated on the grant date utilizing a Monte Carlo Valuation Model, which contains significant unobservable inputs that are believed to be consistent with those used by principal market participants. The fair value of restricted stock units is derived from the closing price of TEC common stock at the grant date. Forfeitures are recognized as they occur. Unvested performance stock units and restricted stock units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additional information on our stock-based compensation.</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TEC and its subsidiaries file a consolidated U.S. federal income tax return. Income taxes are accounted for under the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7 for additional information on income taxes.</w:t>
      </w:r>
    </w:p>
    <w:p>
      <w:pPr>
        <w:spacing w:after="0" w:line="1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Potential losses are accrued when: (i) information is available that indicates it is probable (i.e., likely to occur) that a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20"/>
          </w:cols>
          <w:pgMar w:left="320" w:top="121" w:right="35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Concentrations of credit risk exist primarily within cash and cash equivalents, receivables and commodity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spacing w:after="0" w:line="13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Nautilus is subject to concentrations of credit risk associated with its broker and custodial arrangements which provides Nautilus the ability to access markets to liquidate its Bitcoin and to temporarily store Bitcoin prior to liquidation or distribution. Because Nautilus liquidates Bitcoin to support its operations and distributes excess Bitcoin, or proceeds from excess Bitcoin sales, to the joint venture owners at least once every two weeks, Nautilus does not carry any insurance on its broker and custodial accounts.</w:t>
      </w:r>
    </w:p>
    <w:p>
      <w:pPr>
        <w:spacing w:after="0" w:line="124"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Bank deposits, liquid investments, and other similar assets with original maturities of three months or less. Bank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exchange deposits, liquid investments, and other similar assets with original maturities of three months or less that are restricted by agreement are presented as “Restricted cash and cash equivalents” on the Consolidated Balance Sheets. See Note 20 for additional information.</w:t>
      </w:r>
    </w:p>
    <w:p>
      <w:pPr>
        <w:spacing w:after="0" w:line="1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Receivables primarily consist of amounts due from customers, net of any collection allowances. Uncollected receivables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1"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consists of fuel for generation (primarily coal and fuel oil), materials and supplies, and environmental products each of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at the lower of weighted average cost or net realizable value. See Note 8 for additional information on inventory.</w:t>
      </w:r>
    </w:p>
    <w:p>
      <w:pPr>
        <w:spacing w:after="0" w:line="10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Operating leases primarily relate to office space. Right-of-use assets and lease liabilities are recognized at lease commencement for leases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greater than 12 months. Lease terms include options to extend or terminate the lease if Talen is reasonably certain to exercise such options. These leases do not contain any material restrictive covenants or residual value guarantees. Talen has elected to not separate lease and non-lease components for all classes of assets. Right-of-use assets are measured as the present value of lease payments over the lease term. The discount rate used is the rate implicit in the lease if readily available or the Company’s incremental borrowing rate.</w:t>
      </w:r>
    </w:p>
    <w:p>
      <w:pPr>
        <w:spacing w:after="0" w:line="13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Talen has elected to not recognize the right of use assets and the lease liabilities arising from leases with a short-term duration. A short-term lease is less than 12 months and does not include a purchase option or an option to extend beyond 12 months that Talen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21"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Right-of-use assets are presented as “Other current assets” and “Other noncurrent assets” on the Consolidated Balance Sheets and lease liabilities are presented as “Other current liabilities” and “Other noncurrent liabilities” on the Consolidated Balance Sheets. The carrying value of right-of-use assets and lease liabilities and estimated future lease payments were a non-material amount as of December 31, 2023 (Successor). Additionally, lease expense was a non-material amount for the periods: (i) January 1 through May 17, 2023 (Predecessor); (ii) May 18 through December 31, 2023 (Successor); and (iii) the years ended December 31, 2022 (Predecessor) and December 31, 2021 (Predecessor).</w:t>
      </w:r>
    </w:p>
    <w:p>
      <w:pPr>
        <w:spacing w:after="0" w:line="1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The primary beneficiary (a controlling financial interest) of a VIE is required to consolidate the VIE when it has both: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spacing w:after="0" w:line="129"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in Debt and Equity Securities. </w:t>
      </w:r>
      <w:r>
        <w:rPr>
          <w:rFonts w:ascii="Times New Roman" w:cs="Times New Roman" w:eastAsia="Times New Roman" w:hAnsi="Times New Roman"/>
          <w:sz w:val="18"/>
          <w:szCs w:val="18"/>
          <w:color w:val="auto"/>
        </w:rPr>
        <w:t>The NDT holds investments in available-for-sale debt securities and equity securities, which are carried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and presented as "Nuclear decommissioning trust funds" on the Consolidated Balance Sheets.</w:t>
      </w:r>
    </w:p>
    <w:p>
      <w:pPr>
        <w:spacing w:after="0" w:line="10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9 and 14 for additional information on investments in debt and equity securities.</w:t>
      </w:r>
    </w:p>
    <w:p>
      <w:pPr>
        <w:spacing w:after="0" w:line="16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Expenditures for land, the construction of facilities, the addition or refurbishment of major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property, plant and equipment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property, plant, and equipment under the group depreciation method, the costs of such assets are retired against accumulated depreciation in the period of the retirement and no gain or loss is recognized. Any remaining carrying value of property, plant and equipment at its retirement date that depreciated under the straight-line depreciation method is presented as a loss within "Other operating income (expense), net" on the Consolidated Statements of Operations. Any remaining carrying value of property, plant and equipment at its sale date and any proceeds from the disposition are presented as a gain or loss net on the Consolidated Statements of Operations.</w:t>
      </w:r>
    </w:p>
    <w:p>
      <w:pPr>
        <w:spacing w:after="0" w:line="14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20"/>
          </w:cols>
          <w:pgMar w:left="320" w:top="121" w:right="359" w:bottom="1440" w:gutter="0" w:footer="0" w:header="0"/>
        </w:sectPr>
      </w:pPr>
    </w:p>
    <w:bookmarkStart w:id="218" w:name="page219"/>
    <w:bookmarkEnd w:id="21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“Impairments” below for additional information regarding impairments on the carrying values of property, plant and equipment.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property, plant and equipment.</w:t>
      </w:r>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information on impairments.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A liability for an ARO or conditional ARO exists when a legal obligation arises from laws, regulations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for the asset retirement capitalized cost. Estimated future ARO cash expenditures and settlement dates are reviewed periodically to identify any required amendments to the carrying value of each ARO liability.</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00"/>
          </w:cols>
          <w:pgMar w:left="320" w:top="121" w:right="37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80" w:firstLine="324"/>
        <w:spacing w:after="0" w:line="258" w:lineRule="auto"/>
        <w:rPr>
          <w:sz w:val="20"/>
          <w:szCs w:val="20"/>
          <w:color w:val="auto"/>
        </w:rPr>
      </w:pPr>
      <w:r>
        <w:rPr>
          <w:rFonts w:ascii="Times New Roman" w:cs="Times New Roman" w:eastAsia="Times New Roman" w:hAnsi="Times New Roman"/>
          <w:sz w:val="18"/>
          <w:szCs w:val="18"/>
          <w:color w:val="auto"/>
        </w:rPr>
        <w:t>A conditional ARO refers to an entity’s legal obligation to perform an asset retirement activity in which the timing or method of settlement is conditional on a future event that may or may not be within the entity’s control.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for additional information on AROs.</w:t>
      </w:r>
    </w:p>
    <w:p>
      <w:pPr>
        <w:spacing w:after="0" w:line="16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Management continuously assesses potential loss contingencies for environmental remediation, litigation claims, regulatory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interruption insurance proceeds are considered gain contingencies and not recognized until realized.</w:t>
      </w:r>
    </w:p>
    <w:p>
      <w:pPr>
        <w:spacing w:after="0" w:line="16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3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2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Direct cash borrowings under secured lines of credit, revolving credit facilities, and similar indebtedness are presented as “Revolving credit facilities”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13 for additional information on debt.</w:t>
      </w:r>
    </w:p>
    <w:p>
      <w:pPr>
        <w:spacing w:after="0" w:line="169"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Postretirement Benefit Obligations. </w:t>
      </w:r>
      <w:r>
        <w:rPr>
          <w:rFonts w:ascii="Times New Roman" w:cs="Times New Roman" w:eastAsia="Times New Roman" w:hAnsi="Times New Roman"/>
          <w:sz w:val="18"/>
          <w:szCs w:val="18"/>
          <w:color w:val="auto"/>
        </w:rPr>
        <w:t>Talen sponsors or participates in, as applicable, various qualified and non-qualified defined benefit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postretirement benefit plans. Gains and losses, net of income tax, that arise and are not a component of net periodic defined benefit costs are presented as “Other Comprehensive Income (Loss)”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20"/>
          </w:cols>
          <w:pgMar w:left="320" w:top="121" w:right="35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2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Talen is obligated to provide health care benefits under the Coal Act and pneumoconiosis (black lung) benefits under the Black Lung Act for retired miners and eligible beneficiaries. Benefits are funded from a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15 for additional information about the plans and the accounting for defined benefits.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enhanced disclosures about significant segment expenses. The ASU is effective for fiscal years beginning after December 15, 2023, and interim periods within fiscal years beginning after December 15, 2024. Early adoption is permitted. The Company is evaluating the disclosure impact of this ASU and expects to adopt it in the required period.</w:t>
      </w:r>
    </w:p>
    <w:p>
      <w:pPr>
        <w:spacing w:after="0" w:line="12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2023-08. </w:t>
      </w:r>
      <w:r>
        <w:rPr>
          <w:rFonts w:ascii="Times New Roman" w:cs="Times New Roman" w:eastAsia="Times New Roman" w:hAnsi="Times New Roman"/>
          <w:sz w:val="18"/>
          <w:szCs w:val="18"/>
          <w:color w:val="auto"/>
        </w:rPr>
        <w:t>In December 2023, the FASB issued ASU 2023-08,</w:t>
      </w:r>
      <w:r>
        <w:rPr>
          <w:rFonts w:ascii="Times New Roman" w:cs="Times New Roman" w:eastAsia="Times New Roman" w:hAnsi="Times New Roman"/>
          <w:sz w:val="18"/>
          <w:szCs w:val="18"/>
          <w:i w:val="1"/>
          <w:iCs w:val="1"/>
          <w:color w:val="auto"/>
        </w:rPr>
        <w:t xml:space="preserve"> Intangibles—Goodwill and Other—Crypto Assets (Subtopic 350-60): Accounting for and disclosure of Crypto Assets</w:t>
      </w:r>
      <w:r>
        <w:rPr>
          <w:rFonts w:ascii="Times New Roman" w:cs="Times New Roman" w:eastAsia="Times New Roman" w:hAnsi="Times New Roman"/>
          <w:sz w:val="18"/>
          <w:szCs w:val="18"/>
          <w:color w:val="auto"/>
        </w:rPr>
        <w:t>. This ASU requires cryptocurrency assets to be measured at fair value with changes in fair value recognized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The amendments also require disclosures on significant cryptocurrency holdings, contractual sale restrictions, and changes during the reporting period. The ASU is effective for fiscal years beginning after December 15, 2024, including interim periods within those fiscal years. Early adoption is permitted for both interim and annual financial statements that have not yet been issued. Nautilus is evaluating the impact of this ASU and expects to adopt it in the required period.</w:t>
      </w:r>
    </w:p>
    <w:p>
      <w:pPr>
        <w:spacing w:after="0" w:line="12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annual disclosures for specific categories in the rate reconciliation and additional information for reconciling items that meet a quantitative threshold. The ASU is effective for annual periods beginning after December 15, 2024. Early adoption is permitted for annual financial statements that have not yet been issued. The Company is evaluating the disclosure impact of this ASU and expects to adopt it in the required period.</w:t>
      </w:r>
    </w:p>
    <w:p>
      <w:pPr>
        <w:spacing w:after="0" w:line="124" w:lineRule="exact"/>
        <w:rPr>
          <w:sz w:val="20"/>
          <w:szCs w:val="20"/>
          <w:color w:val="auto"/>
        </w:rPr>
      </w:pPr>
    </w:p>
    <w:p>
      <w:pPr>
        <w:ind w:left="680" w:hanging="348"/>
        <w:spacing w:after="0"/>
        <w:tabs>
          <w:tab w:leader="none" w:pos="6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Talen Emergence from Restructuring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U.S. Bankruptcy Code</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May 2022, TES and the other initial Debtors filed voluntary petitions seeking relief under Chapter 11 of the Bankruptcy Code. In December 2022, TEC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21" w:right="35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Pursuant to the Rights Offering, TEC raised $1.4 billion of additional equity capital.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22" w:lineRule="exact"/>
        <w:rPr>
          <w:sz w:val="20"/>
          <w:szCs w:val="20"/>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jc w:val="both"/>
        <w:ind w:left="1300" w:right="400" w:hanging="320"/>
        <w:spacing w:after="0" w:line="289" w:lineRule="auto"/>
        <w:tabs>
          <w:tab w:leader="none" w:pos="129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03" w:lineRule="exact"/>
        <w:rPr>
          <w:rFonts w:ascii="Times New Roman" w:cs="Times New Roman" w:eastAsia="Times New Roman" w:hAnsi="Times New Roman"/>
          <w:sz w:val="17"/>
          <w:szCs w:val="17"/>
          <w:color w:val="auto"/>
        </w:rPr>
      </w:pPr>
    </w:p>
    <w:p>
      <w:pPr>
        <w:ind w:left="1300" w:right="540" w:hanging="320"/>
        <w:spacing w:after="0" w:line="312" w:lineRule="auto"/>
        <w:tabs>
          <w:tab w:leader="none" w:pos="129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85"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29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21" w:right="35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61"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6"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to be contributed to the GUC Trust, subject to a cap of $11 million. Talen Montana contributed $11 million to the GUC Trust in December 2023 following the settlement of the PPL/Talen Montana litigation. See Note 12 for additional information on the PPL/Talen Montana litigation and the related settlement.</w:t>
      </w:r>
    </w:p>
    <w:p>
      <w:pPr>
        <w:spacing w:after="0" w:line="1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Value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121" w:right="35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14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assumptions used to estimate the reorganization value considered all available evidence as of Emergence,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Current liabilities excluding long-term debt due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Non-current liabilities excluding long-term debt and liability-classified warrants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value to be allocated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r>
      <w:tr>
        <w:trPr>
          <w:trHeight w:val="21"/>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21"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TES’s enterprise value to the estimated fair value at Emergence: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Fair value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Liability-classified warrants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Fair value of member’s equity </w:t>
            </w:r>
            <w:r>
              <w:rPr>
                <w:rFonts w:ascii="Times New Roman" w:cs="Times New Roman" w:eastAsia="Times New Roman" w:hAnsi="Times New Roman"/>
                <w:sz w:val="23"/>
                <w:szCs w:val="23"/>
                <w:b w:val="1"/>
                <w:bCs w:val="1"/>
                <w:color w:val="auto"/>
                <w:vertAlign w:val="superscript"/>
              </w:rPr>
              <w:t>(c)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21"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1"/>
                <w:szCs w:val="11"/>
                <w:color w:val="auto"/>
              </w:rPr>
            </w:pPr>
          </w:p>
        </w:tc>
        <w:tc>
          <w:tcPr>
            <w:tcW w:w="146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2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960" w:type="dxa"/>
            <w:vAlign w:val="bottom"/>
            <w:gridSpan w:val="5"/>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(g)</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(h)</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(j)</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(k)</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(bb)</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21"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reorganization adjustments required in connection with the application of fresh start accounting and the allocation of the enterprise value were:</w:t>
      </w:r>
    </w:p>
    <w:p>
      <w:pPr>
        <w:spacing w:after="0" w:line="171" w:lineRule="exact"/>
        <w:rPr>
          <w:sz w:val="20"/>
          <w:szCs w:val="20"/>
          <w:color w:val="auto"/>
        </w:rPr>
      </w:pPr>
    </w:p>
    <w:p>
      <w:pPr>
        <w:ind w:left="660" w:right="180" w:hanging="328"/>
        <w:spacing w:after="0" w:line="266" w:lineRule="auto"/>
        <w:tabs>
          <w:tab w:leader="none" w:pos="6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uses of “Cash and cash equivalents” at Emergence resulting from the implementation of the Plan of Reorganization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Rights Offering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TLB and TLC</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CAF</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claims under other Prepetition Secured Indebtedness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DIP TLB</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TLB, TLC and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hedge rejections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 of Cash and cash equivalents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“Restricted cash and cash equivalents”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Restricted cash and cash equivalents</w:t>
      </w:r>
    </w:p>
    <w:p>
      <w:pPr>
        <w:spacing w:after="0" w:line="297" w:lineRule="exact"/>
        <w:rPr>
          <w:sz w:val="20"/>
          <w:szCs w:val="20"/>
          <w:color w:val="auto"/>
        </w:rPr>
      </w:pPr>
    </w:p>
    <w:p>
      <w:pPr>
        <w:ind w:left="640" w:hanging="308"/>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net change related to settlement of affiliate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net change:</w:t>
      </w:r>
    </w:p>
    <w:p>
      <w:pPr>
        <w:spacing w:after="0" w:line="212" w:lineRule="exact"/>
        <w:rPr>
          <w:sz w:val="20"/>
          <w:szCs w:val="20"/>
          <w:color w:val="auto"/>
        </w:rPr>
      </w:pPr>
    </w:p>
    <w:p>
      <w:pPr>
        <w:ind w:left="20" w:right="3212"/>
        <w:spacing w:after="0" w:line="280" w:lineRule="auto"/>
        <w:rPr>
          <w:sz w:val="20"/>
          <w:szCs w:val="20"/>
          <w:color w:val="auto"/>
        </w:rPr>
      </w:pPr>
      <w:r>
        <w:rPr>
          <w:rFonts w:ascii="Times New Roman" w:cs="Times New Roman" w:eastAsia="Times New Roman" w:hAnsi="Times New Roman"/>
          <w:sz w:val="18"/>
          <w:szCs w:val="18"/>
          <w:color w:val="auto"/>
        </w:rPr>
        <w:t>Write-off of debt issuance costs associated with Prepetition CAF Reclassification of previously capitalized debt issuance costs to Long-term debt 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assets</w:t>
      </w:r>
    </w:p>
    <w:p>
      <w:pPr>
        <w:spacing w:after="0" w:line="297" w:lineRule="exact"/>
        <w:rPr>
          <w:sz w:val="20"/>
          <w:szCs w:val="20"/>
          <w:color w:val="auto"/>
        </w:rPr>
      </w:pPr>
    </w:p>
    <w:p>
      <w:pPr>
        <w:ind w:left="640" w:hanging="308"/>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amounts owed under Prepetition CAF.</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DIP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208" w:hanging="1208"/>
        <w:spacing w:after="0"/>
        <w:tabs>
          <w:tab w:leader="none" w:pos="12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208" w:hanging="1208"/>
        <w:spacing w:after="0"/>
        <w:tabs>
          <w:tab w:leader="none" w:pos="120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8" w:hanging="1228"/>
        <w:spacing w:after="0"/>
        <w:tabs>
          <w:tab w:leader="none" w:pos="12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ind w:left="1228" w:hanging="1228"/>
        <w:spacing w:after="0"/>
        <w:tabs>
          <w:tab w:leader="none" w:pos="122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ectPr>
          <w:pgSz w:w="11900" w:h="16838" w:orient="portrait"/>
          <w:cols w:equalWidth="0" w:num="1">
            <w:col w:w="11240"/>
          </w:cols>
          <w:pgMar w:left="320" w:top="121" w:right="339" w:bottom="1440" w:gutter="0" w:footer="0" w:header="0"/>
          <w:type w:val="continuous"/>
        </w:sectPr>
      </w:pPr>
    </w:p>
    <w:bookmarkStart w:id="227" w:name="page228"/>
    <w:bookmarkEnd w:id="227"/>
    <w:p>
      <w:pPr>
        <w:jc w:val="center"/>
        <w:ind w:left="2288"/>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ind w:left="2288"/>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 “Accrued interest”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Prepetition CAF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DIP Facilities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Accrued interest</w:t>
      </w:r>
    </w:p>
    <w:p>
      <w:pPr>
        <w:spacing w:after="0" w:line="2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“Accounts payable and other accrued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hedge contract rejections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Accounts payable and other accrued liabilities</w:t>
      </w:r>
    </w:p>
    <w:p>
      <w:pPr>
        <w:spacing w:after="0" w:line="2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“Other current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equity for Backstop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current liabilities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“Long-term debt”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Borrowings of $1.2 billion under the Secured Notes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Borrowings of $580 million under TLB </w:t>
      </w:r>
      <w:r>
        <w:rPr>
          <w:rFonts w:ascii="Times New Roman" w:cs="Times New Roman" w:eastAsia="Times New Roman" w:hAnsi="Times New Roman"/>
          <w:sz w:val="23"/>
          <w:szCs w:val="23"/>
          <w:color w:val="auto"/>
          <w:vertAlign w:val="superscript"/>
        </w:rPr>
        <w:t>(b)</w:t>
      </w:r>
    </w:p>
    <w:p>
      <w:pPr>
        <w:ind w:left="20"/>
        <w:spacing w:after="0" w:line="209" w:lineRule="auto"/>
        <w:rPr>
          <w:sz w:val="20"/>
          <w:szCs w:val="20"/>
          <w:color w:val="auto"/>
        </w:rPr>
      </w:pPr>
      <w:r>
        <w:rPr>
          <w:rFonts w:ascii="Times New Roman" w:cs="Times New Roman" w:eastAsia="Times New Roman" w:hAnsi="Times New Roman"/>
          <w:sz w:val="18"/>
          <w:szCs w:val="18"/>
          <w:color w:val="auto"/>
        </w:rPr>
        <w:t xml:space="preserve">Borrowings of $470 million under TLC </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Reinstatement of PEDFA 2009B Bonds and PEDFA 2009C Bonds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Long-term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initial purchaser discount and debt issuance costs of $21 million. See Note 13 for additional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$32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$24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recognition of $4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8" w:hanging="1128"/>
        <w:spacing w:after="0"/>
        <w:tabs>
          <w:tab w:leader="none" w:pos="11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128" w:hanging="1128"/>
        <w:spacing w:after="0"/>
        <w:tabs>
          <w:tab w:leader="none" w:pos="1128"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28" w:hanging="1228"/>
        <w:spacing w:after="0"/>
        <w:tabs>
          <w:tab w:leader="none" w:pos="12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1388" w:hanging="1388"/>
        <w:spacing w:after="0"/>
        <w:tabs>
          <w:tab w:leader="none" w:pos="1388"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8" w:hanging="1128"/>
        <w:spacing w:after="0"/>
        <w:tabs>
          <w:tab w:leader="none" w:pos="11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1128" w:hanging="1128"/>
        <w:spacing w:after="0"/>
        <w:tabs>
          <w:tab w:leader="none" w:pos="1128"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8" w:hanging="988"/>
        <w:spacing w:after="0"/>
        <w:tabs>
          <w:tab w:leader="none" w:pos="98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(2,048)</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1208" w:hanging="1208"/>
        <w:spacing w:after="0"/>
        <w:tabs>
          <w:tab w:leader="none" w:pos="1208"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ectPr>
          <w:pgSz w:w="11900" w:h="16838" w:orient="portrait"/>
          <w:cols w:equalWidth="0" w:num="2">
            <w:col w:w="8972" w:space="720"/>
            <w:col w:w="1528"/>
          </w:cols>
          <w:pgMar w:left="320" w:top="121" w:right="35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  “Liabilities subject to compromise” settled or reinstated at Emergence in accordance with the Plan of Reorganization:</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 prior to Emergence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retail contracts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50"/>
        </w:trPr>
        <w:tc>
          <w:tcPr>
            <w:tcW w:w="9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Reinstatement and settlements of certain Liabilities subject to compromise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Reinstatement of liabilities subject to compromise </w:t>
            </w:r>
            <w:r>
              <w:rPr>
                <w:rFonts w:ascii="Times New Roman" w:cs="Times New Roman" w:eastAsia="Times New Roman" w:hAnsi="Times New Roman"/>
                <w:sz w:val="23"/>
                <w:szCs w:val="23"/>
                <w:b w:val="1"/>
                <w:bCs w:val="1"/>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fair value ascribed to lenders participating in Rights Offering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Gain on derecognition of certain Liabilities subject to compromise </w:t>
            </w:r>
            <w:r>
              <w:rPr>
                <w:rFonts w:ascii="Times New Roman" w:cs="Times New Roman" w:eastAsia="Times New Roman" w:hAnsi="Times New Roman"/>
                <w:sz w:val="23"/>
                <w:szCs w:val="23"/>
                <w:b w:val="1"/>
                <w:bCs w:val="1"/>
                <w:color w:val="auto"/>
                <w:vertAlign w:val="superscript"/>
              </w:rPr>
              <w:t>(b)</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(a)  Primarily includes postretirement benefit obligations, AROs, and deferred income taxes.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(b)  Represents liabilities subject to compromise that were discharged in accordance with the Plan of Reorganization.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 Reinstatement of “Liabilities subject to compromise.”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 “Deferred income taxes” net change: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deferred tax liabilities primarily due to estimated tax attribute reduction from the recognition of cancellation of debt</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partially offset by change in valuation allowance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Deferred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 “Other noncurrent liabilities” net change: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21"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liability-classified warrants was determined using a Black-Scholes Option Pricing Model with the following assumptions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r>
      <w:tr>
        <w:trPr>
          <w:trHeight w:val="468"/>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 “Member’s equity” net change: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attributable to gain on debt discharge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expensed at Emergence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Restructuring-related compensation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 items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incurred at Emergence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reorganization adjustments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in connection with Rights Offering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for Backstop Premium</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equity-classified warrants </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Member’s equity</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r>
      <w:tr>
        <w:trPr>
          <w:trHeight w:val="20"/>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Fresh Start Adjustments</w:t>
      </w:r>
    </w:p>
    <w:p>
      <w:pPr>
        <w:spacing w:after="0" w:line="175" w:lineRule="exact"/>
        <w:rPr>
          <w:sz w:val="20"/>
          <w:szCs w:val="20"/>
          <w:color w:val="auto"/>
        </w:rPr>
      </w:pPr>
    </w:p>
    <w:p>
      <w:pPr>
        <w:ind w:left="640" w:hanging="308"/>
        <w:spacing w:after="0"/>
        <w:tabs>
          <w:tab w:leader="none" w:pos="6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presentation of derivatives on the Consolidated Balance Sheets. See Note 2 for additional information on this policy change.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net”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Inventory,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22" w:lineRule="exact"/>
        <w:rPr>
          <w:sz w:val="20"/>
          <w:szCs w:val="20"/>
          <w:color w:val="auto"/>
        </w:rPr>
      </w:pPr>
    </w:p>
    <w:p>
      <w:pPr>
        <w:ind w:left="640" w:hanging="308"/>
        <w:spacing w:after="0"/>
        <w:tabs>
          <w:tab w:leader="none" w:pos="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primarily represents miscellaneous fair value adjustments.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Property, plant and equipment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1"/>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“Property, plant and equipment”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 “Other noncurrent assets” fair value adjustments: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Favorable supply contracts </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 to equity method investments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debt issuance costs associated with DIP Facilities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reduction to other miscellaneous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Other noncurrent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supply contracts was determined utilizing the present value of the after-tax difference between the pricing of actual contracts in place and a current market benchmark.</w:t>
      </w:r>
    </w:p>
    <w:p>
      <w:pPr>
        <w:spacing w:after="0" w:line="1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fair value adjustments, primarily related to short-term AROs.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fair value adjustments: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Eliminate debt issuance costs associated with Prepetition Secured Notes, Prepetition TLB and LMBE-MC TLB </w:t>
            </w:r>
            <w:r>
              <w:rPr>
                <w:rFonts w:ascii="Times New Roman" w:cs="Times New Roman" w:eastAsia="Times New Roman" w:hAnsi="Times New Roman"/>
                <w:sz w:val="23"/>
                <w:szCs w:val="23"/>
                <w:color w:val="auto"/>
                <w:vertAlign w:val="superscript"/>
              </w:rPr>
              <w:t>(a)</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Cumulus Digital TLF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LMBE-MC TLB </w:t>
            </w:r>
            <w:r>
              <w:rPr>
                <w:rFonts w:ascii="Times New Roman" w:cs="Times New Roman" w:eastAsia="Times New Roman" w:hAnsi="Times New Roman"/>
                <w:sz w:val="23"/>
                <w:szCs w:val="23"/>
                <w:color w:val="auto"/>
                <w:vertAlign w:val="superscript"/>
              </w:rPr>
              <w:t>(a)</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Long-term debt</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for additional information.</w:t>
      </w:r>
    </w:p>
    <w:p>
      <w:pPr>
        <w:spacing w:after="0" w:line="16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Fair value adjustments to “Long-term debt” were determined using a lattice model, given that the debt can be prepaid by the borrower prior to the maturity date.</w:t>
      </w:r>
    </w:p>
    <w:p>
      <w:pPr>
        <w:spacing w:after="0" w:line="108" w:lineRule="exact"/>
        <w:rPr>
          <w:sz w:val="20"/>
          <w:szCs w:val="20"/>
          <w:color w:val="auto"/>
        </w:rPr>
      </w:pPr>
    </w:p>
    <w:p>
      <w:pPr>
        <w:ind w:left="660" w:right="160" w:hanging="328"/>
        <w:spacing w:after="0" w:line="282" w:lineRule="auto"/>
        <w:tabs>
          <w:tab w:leader="none" w:pos="65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accounting policy for discount rates used to estimate postretirement obligations from a bond-matching model to yield curve approach. See Note 2 for additional information.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21"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60" w:hanging="328"/>
        <w:spacing w:after="0" w:line="282" w:lineRule="auto"/>
        <w:tabs>
          <w:tab w:leader="none" w:pos="65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“Deferred income taxes” for the change in financial reporting basis of assets and liabilities as a result of the adoption of fresh start accounting.</w:t>
      </w:r>
    </w:p>
    <w:p>
      <w:pPr>
        <w:spacing w:after="0" w:line="108" w:lineRule="exact"/>
        <w:rPr>
          <w:sz w:val="20"/>
          <w:szCs w:val="20"/>
          <w:color w:val="auto"/>
        </w:rPr>
      </w:pPr>
    </w:p>
    <w:p>
      <w:pPr>
        <w:jc w:val="both"/>
        <w:ind w:left="660" w:right="20" w:hanging="328"/>
        <w:spacing w:after="0" w:line="266" w:lineRule="auto"/>
        <w:tabs>
          <w:tab w:leader="none" w:pos="6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22" w:lineRule="exact"/>
        <w:rPr>
          <w:sz w:val="20"/>
          <w:szCs w:val="20"/>
          <w:color w:val="auto"/>
        </w:rPr>
      </w:pPr>
    </w:p>
    <w:p>
      <w:pPr>
        <w:ind w:left="340" w:right="5260"/>
        <w:spacing w:after="0" w:line="438" w:lineRule="auto"/>
        <w:rPr>
          <w:sz w:val="20"/>
          <w:szCs w:val="20"/>
          <w:color w:val="auto"/>
        </w:rPr>
      </w:pPr>
      <w:r>
        <w:rPr>
          <w:rFonts w:ascii="Times New Roman" w:cs="Times New Roman" w:eastAsia="Times New Roman" w:hAnsi="Times New Roman"/>
          <w:sz w:val="18"/>
          <w:szCs w:val="18"/>
          <w:color w:val="auto"/>
        </w:rPr>
        <w:t xml:space="preserve">(bb)Cumulative impact of fresh start accounting adjustments presented herein. (cc) “Noncontrolling interests” fair value adjustments for certain subsidiaries. </w:t>
      </w:r>
      <w:r>
        <w:rPr>
          <w:rFonts w:ascii="Times New Roman" w:cs="Times New Roman" w:eastAsia="Times New Roman" w:hAnsi="Times New Roman"/>
          <w:sz w:val="18"/>
          <w:szCs w:val="18"/>
          <w:b w:val="1"/>
          <w:bCs w:val="1"/>
          <w:i w:val="1"/>
          <w:iCs w:val="1"/>
          <w:color w:val="auto"/>
        </w:rPr>
        <w:t>Liabilities Subject to Compromise</w:t>
      </w:r>
    </w:p>
    <w:p>
      <w:pPr>
        <w:spacing w:after="0" w:line="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(Predecessor), “Liabilities subject to compromise” on the Consolidated Balance Sheets represents the expected allowed amount of the prepetition claims of the Debtors that were not fully secured and that had at least a possibility of not being repaid at the full claim amount.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power and other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  Includes both current and noncurrent amounts.</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“Reorganization income (expense), net” for the periods presented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26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discharge</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adjustments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Income (Expense), net</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21"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the preceding table, make-whole premiums and accrued interest on certain indebtedness primarily represents charges recognized by the Debtors for estimates related to make-whole premiums and accrued interest, where applicable, on the Prepetition CAF and certain other Prepetition Secured Indebtedness. The charges are presented as “Reorganization income (expense), net” on the Consolidated Statements of Operations and included in “Accrued interest” on the Consolidated Balance Sheets.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Cash paid for certain reorganization expenses was $308 million for the period from January 1 through May 17, 2023 (Predecessor). Cash paid for the year ended December 31, 2022 (Predecessor) for DIP Facilities financing fees is presented as “Financing Activities” on the Consolidated Statements of Cash Flows.</w:t>
      </w:r>
    </w:p>
    <w:p>
      <w:pPr>
        <w:spacing w:after="0" w:line="118" w:lineRule="exact"/>
        <w:rPr>
          <w:sz w:val="20"/>
          <w:szCs w:val="20"/>
          <w:color w:val="auto"/>
        </w:rPr>
      </w:pPr>
    </w:p>
    <w:p>
      <w:pPr>
        <w:ind w:left="360" w:hanging="352"/>
        <w:spacing w:after="0"/>
        <w:tabs>
          <w:tab w:leader="none" w:pos="3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Derivative Instruments and Hedging Activities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3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December 31, 2023 (Successor) range in maturity through 2026. The net notional volumes of open commodity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9"/>
        </w:trPr>
        <w:tc>
          <w:tcPr>
            <w:tcW w:w="792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2023 </w:t>
            </w:r>
            <w:r>
              <w:rPr>
                <w:rFonts w:ascii="Times New Roman" w:cs="Times New Roman" w:eastAsia="Times New Roman" w:hAnsi="Times New Roman"/>
                <w:sz w:val="18"/>
                <w:szCs w:val="18"/>
                <w:b w:val="1"/>
                <w:bCs w:val="1"/>
                <w:color w:val="auto"/>
                <w:w w:val="96"/>
                <w:vertAlign w:val="superscript"/>
              </w:rPr>
              <w:t>(a)</w:t>
            </w:r>
          </w:p>
        </w:tc>
        <w:tc>
          <w:tcPr>
            <w:tcW w:w="8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2022 </w:t>
            </w:r>
            <w:r>
              <w:rPr>
                <w:rFonts w:ascii="Times New Roman" w:cs="Times New Roman" w:eastAsia="Times New Roman" w:hAnsi="Times New Roman"/>
                <w:sz w:val="18"/>
                <w:szCs w:val="18"/>
                <w:b w:val="1"/>
                <w:bCs w:val="1"/>
                <w:color w:val="auto"/>
                <w:w w:val="96"/>
                <w:vertAlign w:val="superscript"/>
              </w:rPr>
              <w:t>(a)</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21"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December 31, 2023 (Successor) range in maturity dates through 2026. The net notional volumes of open interest rate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7"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December 31, 2023 (Successor) relates to interest rate derivatives for the TLB indebtedness. Value as of December 31, 2022 (Predecessor) relates to interest rate derivatives for the LMBE-MC indebtedness, which was repaid, and the associated derivatives terminated, in August 2023.</w:t>
      </w:r>
    </w:p>
    <w:p>
      <w:pPr>
        <w:spacing w:after="0" w:line="126"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Allowance for doubtful accounts was a non-material amount as of December 31, 2023 (Successor) and December 31, 2022 (Predecessor).</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(Successor), Talen’s aggregate credit exposure, which excludes the effects of netting arrangements, cash collateral, letters of credit and any allowances for doubtful collections, was $431 million and its credit exposure net of such effects was $121 million. Excluding ISO and RTO counterparties, whose accounts receivable settlements are subject to applicable market controls, the ten largest single net credit exposures account for approximately 78%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21"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 of derivative instruments in a net liability position, and that contain credit risk-related contingent features, were non-material amount as of December 31, 2023 (Successor) and December 31, 2022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80" w:type="dxa"/>
            <w:vAlign w:val="bottom"/>
            <w:tcBorders>
              <w:bottom w:val="single" w:sz="8" w:color="auto"/>
            </w:tcBorders>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1,927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information on our accounting policy revision at Emergence concerning derivative instrument presentation.</w:t>
      </w:r>
    </w:p>
    <w:p>
      <w:pPr>
        <w:spacing w:after="0" w:line="16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2 for additional information on our derivative instruments and Note 14 for additional information on fair value.</w:t>
      </w:r>
    </w:p>
    <w:p>
      <w:pPr>
        <w:spacing w:after="0" w:line="12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December 31, 2023 (Successor), while derivative assets and derivative liabilities are presented on the Consolidated Balance Sheets without the effect of such permitted netting as of December 31, 2022 (Predecessor). See Note 2 for information on the related accounting policy.</w:t>
      </w:r>
    </w:p>
    <w:p>
      <w:pPr>
        <w:spacing w:after="0" w:line="12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00" w:type="dxa"/>
            <w:vAlign w:val="bottom"/>
          </w:tcPr>
          <w:p>
            <w:pPr>
              <w:spacing w:after="0"/>
              <w:rPr>
                <w:sz w:val="13"/>
                <w:szCs w:val="13"/>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1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(Posted)</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0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80" w:type="dxa"/>
            <w:vAlign w:val="bottom"/>
          </w:tcPr>
          <w:p>
            <w:pPr>
              <w:spacing w:after="0"/>
              <w:rPr>
                <w:sz w:val="16"/>
                <w:szCs w:val="16"/>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December 31, 2023 (Successor)</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21"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Statements of Operations Presentation. </w:t>
      </w:r>
      <w:r>
        <w:rPr>
          <w:rFonts w:ascii="Times New Roman" w:cs="Times New Roman" w:eastAsia="Times New Roman" w:hAnsi="Times New Roman"/>
          <w:sz w:val="18"/>
          <w:szCs w:val="18"/>
          <w:color w:val="auto"/>
        </w:rPr>
        <w:t>The location and pre-tax effect of “Derivative instruments” presented on the Consolidated Statements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32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2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200" w:type="dxa"/>
            <w:vAlign w:val="bottom"/>
            <w:tcBorders>
              <w:top w:val="single" w:sz="8" w:color="auto"/>
            </w:tcBorders>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200" w:type="dxa"/>
            <w:vAlign w:val="bottom"/>
          </w:tcPr>
          <w:p>
            <w:pPr>
              <w:jc w:val="right"/>
              <w:ind w:right="10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Realized and unrealized gain (loss) on interest rate</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Terminations</w:t>
      </w:r>
    </w:p>
    <w:p>
      <w:pPr>
        <w:spacing w:after="0" w:line="171" w:lineRule="exact"/>
        <w:rPr>
          <w:sz w:val="20"/>
          <w:szCs w:val="20"/>
          <w:color w:val="auto"/>
        </w:rPr>
      </w:pPr>
    </w:p>
    <w:p>
      <w:pPr>
        <w:jc w:val="both"/>
        <w:ind w:right="80" w:firstLine="324"/>
        <w:spacing w:after="0" w:line="291" w:lineRule="auto"/>
        <w:rPr>
          <w:sz w:val="20"/>
          <w:szCs w:val="20"/>
          <w:color w:val="auto"/>
        </w:rPr>
      </w:pPr>
      <w:r>
        <w:rPr>
          <w:rFonts w:ascii="Times New Roman" w:cs="Times New Roman" w:eastAsia="Times New Roman" w:hAnsi="Times New Roman"/>
          <w:sz w:val="17"/>
          <w:szCs w:val="17"/>
          <w:i w:val="1"/>
          <w:iCs w:val="1"/>
          <w:color w:val="auto"/>
        </w:rPr>
        <w:t>Commodity Hedge Terminations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March and April 2022, Talen Energy Marketing and a counterparty terminated certain derivative contracts in a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w:t>
      </w:r>
    </w:p>
    <w:p>
      <w:pPr>
        <w:spacing w:after="0" w:line="10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approximately $7 million in net settlements from counterparties and settled the remaining $40 million liability at Emergence.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ERCOT 2021 Winter Market Conditions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mid-February 2021, Texas experienced an extreme winter weather event, Winter Storm Uri, that led to systemic energy market 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 Talen incurred an estimated $78 million pre-tax nonrecurring loss associated with its ERCOT activities during Winter Storm Uri for the year ended December 31, 2021 (Predecessor).</w:t>
      </w:r>
    </w:p>
    <w:p>
      <w:pPr>
        <w:spacing w:after="0" w:line="1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ERCOT systemic risks including a settlement by ERCOT with a market participant that had defaulted in its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21"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disaggregation of our operating revenues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18 through</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4"/>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34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(Successor) and 2022 (Predecessor), there were no significant changes in accounts receivable other than normal receivable recognition and collection transactions. See Note 5 for additional information on Talen's credit risk on the carrying value of its receivables. See Note 8 for additional information on a Talen Energy Marketing receivables sales arrangement that was terminated in May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December 31, 2023 (Successor) and 2022 (Predecessor); or (ii) recognized as revenue on the Consolidated Statements of Operations were not material.</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expected future period capacity revenues subject to unsatisfied or partially unsatisfied performance obligations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12 for additional information on the PJM RPM and auctions.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21"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(expense)”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31"/>
        </w:trPr>
        <w:tc>
          <w:tcPr>
            <w:tcW w:w="4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(1,277)</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reconciliations of the effective tax rate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28"/>
        </w:trPr>
        <w:tc>
          <w:tcPr>
            <w:tcW w:w="4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r>
      <w:tr>
        <w:trPr>
          <w:trHeight w:val="137"/>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Effective tax rate </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computed at the federal</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statutory tax rate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1"/>
                <w:szCs w:val="2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80" w:hanging="332"/>
        <w:spacing w:after="0" w:line="283" w:lineRule="auto"/>
        <w:tabs>
          <w:tab w:leader="none" w:pos="337"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tax rate for the Successor period differed from the statutory rate primarily due to the change in valuation allowance, additional 20% trust tax on NDT income, reorganization adjustments, and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21"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tax liabilities and deferred tax assets as of December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qualifying derivatives</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costs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w:t>
            </w: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NOL carryforwards as of December 31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expirations 2036 - 2037</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indefinite expiration, limited to annual utilization of 80%</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expirations 2024 - 2043</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5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See “Emergence from Restructuring” for information on limitations on our NOLs.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26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both December 31, 2023 (Successor) and 2022 (Predecessor) are potential benefits of $9 million, that, if recognized, would affect the effective tax rate. We do not expect the total amount of unrecognized tax benefit to change significantly within one year.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tax returns filed for years December 31, 2020 and forward are open to examination by the relevant taxing authorities.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ectPr>
          <w:pgSz w:w="11900" w:h="16838" w:orient="portrait"/>
          <w:cols w:equalWidth="0" w:num="1">
            <w:col w:w="11240"/>
          </w:cols>
          <w:pgMar w:left="320" w:top="121" w:right="339" w:bottom="1440" w:gutter="0" w:footer="0" w:header="0"/>
          <w:type w:val="continuous"/>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evaluated the tax impact of its Restructuring as described in Note 3 including the change in control resulting from its emergence from bankruptcy. As part of the Restructuring, a substantial portion of the Company’s prepetition debt was extinguished, resulting in cancellation of indebtedness income (“CODI”). A taxpayer emerging from Bankruptcy may exclude CODI from taxable income but must first reduce its tax attributes by the amount of CODI realized. The Company realized CODI of approximately $1.2 billion, which resulted in a partial reduction in tax basis in property, plant, and equipment assets.</w:t>
      </w:r>
    </w:p>
    <w:p>
      <w:pPr>
        <w:spacing w:after="0" w:line="1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the period from January 1 through May 17, 2023 (Predecessor), Talen recognized a $129 million benefit for the reduction of federal and state valuation allowance. This movement of valuation allowance was caused by tax attribute reduction from the cancellation of debt income realized upon Emergence. For the period from May 18 through December 31, 2023 (Successor), Talen recognized a $43 million expense for the increase in federal and state valuation allowance based on realizability of existing deferred tax assets. For the period December 31, 2022 (Predecessor) Talen recognized a $198 million federal and state valuation allowance expense for the portion of Talen’s net deferred tax asset that is not more likely than not to be realized. Such an allowance resulted from a customary deferred tax asset valuation allowance assessment which is performed on net deferred tax asset positions that utilizes available positive and negative evidence to estimate whether sufficient future taxable income will be generated to permit use of the existing deferred tax assets. Talen’s most significant deferred tax assets are its net operating losses and interest limitation carryforwards. A significant objective input of negative evidence considered in the assessment included the cumulative book losses incurred over a three-year period. The existence of objective negative evidence limits the availability to consider other subjective evidence, including (but not limited to) Talen’s projections for future income which may allow for utilization of net operating losses and interest limitation carryforwards. At each period, management will continue to assess the available positive and negative evidence to determine the need for a valuation allowance.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Inflation Reduction Act, the nuclear production tax credit program provides qualified nuclear power generation facilities with a $3 per MWh transferable credit for electricity produced and sold to an unrelated party during each tax year. Electricity produced and sold by Susquehanna after December 31, 2023 through December 31, 2032 is expected to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We believe Susquehanna will qualify for these adjustments. The credit is eliminated when the annual gross receipts are equivalent to $43.75 per MWh (adjusted for inflation).</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Susquehanna generated approximately 18 million MWh each year from 2021 through 2023. We believe Susquehanna Nuclear will qualify for nuclear production tax credits that will result in an increase to its income. However, no assurance can be provided as to the magnitude of such increase as the Inflation Reduction Act’s provisions, including the computations of the nuclear production tax credit, are subject to implementation regulations. The implementation rules, which are also subject to future legislative revisions, have not yet been published by the Department of Treasury. Accordingly, Talen cannot fully predict the impacts of the Inflation Reduction Act to its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40"/>
          </w:cols>
          <w:pgMar w:left="320" w:top="121"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Inventory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was adjusted to fair value at Emergence. See Note 4 for additional information.</w:t>
      </w:r>
    </w:p>
    <w:p>
      <w:pPr>
        <w:spacing w:after="0" w:line="17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Inventory net realizable value and obsolescence charges are presented as “Other operating income (expense), net” on the Consolidated Statements of Operations. Such non-cash charges were not material for the period from May 18 through December 31, 2023 (Successor). For the period from January 1 through May 17, 2023 (Predecessor), $37 million of charges were recognized, which included $24 million of aggregate adjustments to the Brandon Shores coal and materials and supplies inventories. Net realizable value and obsolescence charges were not material for the years ended December 31, 2022 (Predecessor) and 2021 (Predecessor). See Note 10 for additional information on the Brandon Shores recoverability assessment.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Prior to May 2022, under an inventory repurchase agreement, Talen from time to time sold and transferred title to certain fuel inventory quantities to an unaffiliated party in exchange for cash consideration. Talen was required to subsequently repurchase the quantities as needed for electric generation or at expiry of the arrangement.</w:t>
      </w:r>
    </w:p>
    <w:p>
      <w:pPr>
        <w:spacing w:after="0" w:line="12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May 2022, Talen terminated the agreement by repurchasing the remaining inventory and repaying the $165 million outstanding obligation, plus accrued interest and other fees. Talen had no outstanding inventory repurchase obligations and no inventories subject to the arrangement at December 31, 2023 (Successor) and 2022 (Predecessor).</w:t>
      </w:r>
    </w:p>
    <w:p>
      <w:pPr>
        <w:spacing w:after="0" w:line="118" w:lineRule="exact"/>
        <w:rPr>
          <w:sz w:val="20"/>
          <w:szCs w:val="20"/>
          <w:color w:val="auto"/>
        </w:rPr>
      </w:pPr>
    </w:p>
    <w:p>
      <w:pPr>
        <w:ind w:left="360" w:hanging="352"/>
        <w:spacing w:after="0"/>
        <w:tabs>
          <w:tab w:leader="none" w:pos="3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Nuclear Decommissioning Trust Funds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right"/>
              <w:ind w:right="29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6"/>
        </w:trPr>
        <w:tc>
          <w:tcPr>
            <w:tcW w:w="2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Nuclear decommissioning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trust funds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See Note 14 for additional information on the NDT fair value. There were no available-for-sale debt securities with credit losses as of December 31, 2023 (Successor) or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21"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2023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December 31, 2023 (Successor), the aggregate fair value of these securities were $13 million and the unrealized losses were non-material.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453"/>
        </w:trPr>
        <w:tc>
          <w:tcPr>
            <w:tcW w:w="79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periods were: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 w:type="dxa"/>
            <w:vAlign w:val="bottom"/>
            <w:shd w:val="clear" w:color="auto" w:fill="000000"/>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Sales proceeds of nuclear decommissioning trust funds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360" w:type="dxa"/>
            <w:vAlign w:val="bottom"/>
            <w:tcBorders>
              <w:left w:val="single" w:sz="8" w:color="CCEEFF"/>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360" w:type="dxa"/>
            <w:vAlign w:val="bottom"/>
            <w:tcBorders>
              <w:lef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360" w:type="dxa"/>
            <w:vAlign w:val="bottom"/>
            <w:tcBorders>
              <w:left w:val="single" w:sz="8" w:color="CCEEFF"/>
            </w:tcBorders>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21"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56"/>
        </w:trPr>
        <w:tc>
          <w:tcPr>
            <w:tcW w:w="250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1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was adjusted to fair value after Emergence. See Note 4 for additional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28"/>
        </w:trPr>
        <w:tc>
          <w:tcPr>
            <w:tcW w:w="4660" w:type="dxa"/>
            <w:vAlign w:val="bottom"/>
          </w:tcPr>
          <w:p>
            <w:pPr>
              <w:spacing w:after="0"/>
              <w:rPr>
                <w:sz w:val="11"/>
                <w:szCs w:val="11"/>
                <w:color w:val="auto"/>
              </w:rPr>
            </w:pPr>
          </w:p>
        </w:tc>
        <w:tc>
          <w:tcPr>
            <w:tcW w:w="1200" w:type="dxa"/>
            <w:vAlign w:val="bottom"/>
          </w:tcPr>
          <w:p>
            <w:pPr>
              <w:jc w:val="center"/>
              <w:ind w:left="263"/>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4660" w:type="dxa"/>
            <w:vAlign w:val="bottom"/>
          </w:tcPr>
          <w:p>
            <w:pPr>
              <w:spacing w:after="0"/>
              <w:rPr>
                <w:sz w:val="11"/>
                <w:szCs w:val="11"/>
                <w:color w:val="auto"/>
              </w:rPr>
            </w:pPr>
          </w:p>
        </w:tc>
        <w:tc>
          <w:tcPr>
            <w:tcW w:w="1200" w:type="dxa"/>
            <w:vAlign w:val="bottom"/>
          </w:tcPr>
          <w:p>
            <w:pPr>
              <w:jc w:val="center"/>
              <w:ind w:left="263"/>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1"/>
                <w:szCs w:val="11"/>
                <w:color w:val="auto"/>
              </w:rPr>
            </w:pPr>
          </w:p>
        </w:tc>
        <w:tc>
          <w:tcPr>
            <w:tcW w:w="13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660" w:type="dxa"/>
            <w:vAlign w:val="bottom"/>
          </w:tcPr>
          <w:p>
            <w:pPr>
              <w:spacing w:after="0"/>
              <w:rPr>
                <w:sz w:val="17"/>
                <w:szCs w:val="17"/>
                <w:color w:val="auto"/>
              </w:rPr>
            </w:pPr>
          </w:p>
        </w:tc>
        <w:tc>
          <w:tcPr>
            <w:tcW w:w="12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11 for additional information.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Consolidated Statements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Favorable Supply Contracts.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Emergence, the Company recognized certain favorably priced nuclear fuel supply contracts at their fair value of approximately $109 million. See Note 4 for additional information.</w:t>
      </w:r>
    </w:p>
    <w:p>
      <w:pPr>
        <w:spacing w:after="0" w:line="108"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was $53 million for the period from May 18 through December 31, 2023 (Successor). Amortization expense is presented as “Nuclear fuel amortization” on the Consolidated Statements of Operations. The carrying value of these assets as of December 31, 2023 (Successor) was $56 million, presented as “Other noncurrent assets” on the Consolidated Balance Sheets. Estimated amortization expense for the next five years 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xml:space="preserve">2028 </w:t>
            </w:r>
            <w:r>
              <w:rPr>
                <w:rFonts w:ascii="Times New Roman" w:cs="Times New Roman" w:eastAsia="Times New Roman" w:hAnsi="Times New Roman"/>
                <w:sz w:val="18"/>
                <w:szCs w:val="18"/>
                <w:b w:val="1"/>
                <w:bCs w:val="1"/>
                <w:color w:val="auto"/>
                <w:vertAlign w:val="superscript"/>
              </w:rPr>
              <w:t>(a)</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favorable supply contracts expire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21" w:right="339" w:bottom="1440" w:gutter="0" w:footer="0" w:header="0"/>
        </w:sectPr>
      </w:pPr>
    </w:p>
    <w:bookmarkStart w:id="243" w:name="page244"/>
    <w:bookmarkEnd w:id="24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Impairments</w:t>
      </w:r>
    </w:p>
    <w:p>
      <w:pPr>
        <w:spacing w:after="0" w:line="17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Talen canceled its plan to convert Brandon Shores to an oil combustion facility due to an increase in expected conversion costs. This decision triggered a recoverability assessment of the carrying value of the Brandon Shores asset group. Additionally, Brandon Shores notified PJM that it will deactivate electric generation on June 1, 2025.</w:t>
      </w:r>
    </w:p>
    <w:p>
      <w:pPr>
        <w:spacing w:after="0" w:line="128"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The estimated fair value of the asset group was determined by a discounted cash flow technique that utilized significant unobservable inputs including an 11% discount rate.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in 2023, Talen recognized a non-cash pre-tax impairment charge on its undepreciated property, plant and equipment related to Brandon Shores of $361 million for the period from January 1 through May 17, 2023 (Predecessor), which is presented as “Impairments” on the Consolidated Statements of Operations.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Jointly Owned Facilities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construction costs and operating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of 15% of the available generation from each of these units. In January 2020, Talen Montana and the other co-owner of Colstrip Units 1 and 2 permanently retired the units. Talen Montana is responsible for 50% of the decommissioning and other related costs of Colstrip Units 1 and 2. See Note 22 for information on the potential acquisition by Talen Montana of an additional interest in Colstrip Units 3 and 4.</w:t>
      </w:r>
    </w:p>
    <w:p>
      <w:pPr>
        <w:spacing w:after="0" w:line="13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Colstrip Units have no carrying value at December 31, 2023 (Successor) and 2022 (Predecessor), and therefore are not displayed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80"/>
          </w:cols>
          <w:pgMar w:left="320" w:top="121" w:right="39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proportionate shares of “Property, plant and equipment, net” presented on the Consolidated Balance Sheets at December 31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Susquehanna</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Conemaugh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Keystone</w:t>
            </w:r>
          </w:p>
        </w:tc>
        <w:tc>
          <w:tcPr>
            <w:tcW w:w="160" w:type="dxa"/>
            <w:vAlign w:val="bottom"/>
          </w:tcPr>
          <w:p>
            <w:pPr>
              <w:spacing w:after="0"/>
              <w:rPr>
                <w:sz w:val="13"/>
                <w:szCs w:val="13"/>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Merrill Creek</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Reservoir</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interest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equity method investments which are presented as "Other noncurrent assets"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20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xml:space="preserve">Ownership Interest </w:t>
            </w:r>
            <w:r>
              <w:rPr>
                <w:rFonts w:ascii="Times New Roman" w:cs="Times New Roman" w:eastAsia="Times New Roman" w:hAnsi="Times New Roman"/>
                <w:sz w:val="18"/>
                <w:szCs w:val="18"/>
                <w:b w:val="1"/>
                <w:bCs w:val="1"/>
                <w:color w:val="auto"/>
                <w:vertAlign w:val="superscript"/>
              </w:rPr>
              <w:t>(a)</w:t>
            </w: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Conemaugh Fuels, LLC</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Keystone Fuels, LLC</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at December 31, 2023 (Successor).</w:t>
      </w:r>
    </w:p>
    <w:p>
      <w:pPr>
        <w:spacing w:after="0" w:line="1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$23 million for the period from May 18 through December 31, 2023 (Successor) and $14 million for the period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40"/>
          </w:cols>
          <w:pgMar w:left="320" w:top="121"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through May 17, 2023 (Predecessor). For the years ended December 31, 2022 (Predecessor) and 2021 (Predecessor), Talen’s aggregate fuel purchases were $63 million and $52 million.</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Asset Retirement Obligations and Accrued Environmental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22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8" w:lineRule="auto"/>
        <w:tabs>
          <w:tab w:leader="none" w:pos="337"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as of December 31, 2023 (Successor) and as “Liabilities subject to compromise” as of December 31, 2022 (Predecessor) on the Consolidated Balance Sheets.</w:t>
      </w:r>
    </w:p>
    <w:p>
      <w:pPr>
        <w:spacing w:after="0" w:line="12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(i) certain portions of ARO and accrued environmental costs were presented as “Liabilities subject to compromise” on the Consolidated Balance Sheets as of December 31, 2022 (Predecessor); and (ii) ARO and accrued environmental costs were adjusted to fair value upon completion of the Restructuring. These adjustments included establishing a new discount rate for the AROs, which resulted in a decrease to the value of the obligations for our nuclear facility and an increase in the value of our non-nuclear obligations. See Note 4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have legal retirement obligations for the decommissioning and environmental remediation costs associated with our generation fleet,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Susquehanna Nuclear has an NDT to assist in funding the ARO) and coal ash disposal units associated with legacy coal-fired generation facilities (for which the Company has posted surety bonds, letters of credit and cash collateral for certain facilities). The carrying value of these obligations include assumptions of estimated future ARO cash expenditures, cost escalation rates, probabilistic cash flow models and discount rates. The ARO carrying value may be impacted by current or future CCR rulemaking. See Note 12 for additional information on the EPA CCR Rule.</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121" w:right="339"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of the ARO carrying value during the years were:</w:t>
      </w:r>
    </w:p>
    <w:p>
      <w:pPr>
        <w:spacing w:after="0" w:line="20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ARO</w:t>
      </w:r>
    </w:p>
    <w:p>
      <w:pPr>
        <w:spacing w:after="0" w:line="6"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2021 (Predecessor)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May 17, 2023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adjustment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08" w:hanging="1208"/>
        <w:spacing w:after="0"/>
        <w:tabs>
          <w:tab w:leader="none" w:pos="1208"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760</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p>
    <w:p>
      <w:pPr>
        <w:spacing w:after="0" w:line="22"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ind w:left="1208" w:hanging="1208"/>
        <w:spacing w:after="0"/>
        <w:tabs>
          <w:tab w:leader="none" w:pos="1208"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2023 (Successor)</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920" w:type="dxa"/>
            <w:vAlign w:val="bottom"/>
          </w:tcPr>
          <w:p>
            <w:pPr>
              <w:spacing w:after="0"/>
              <w:rPr>
                <w:sz w:val="22"/>
                <w:szCs w:val="22"/>
                <w:color w:val="auto"/>
              </w:rPr>
            </w:pPr>
          </w:p>
        </w:tc>
        <w:tc>
          <w:tcPr>
            <w:tcW w:w="12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920" w:type="dxa"/>
            <w:vAlign w:val="bottom"/>
          </w:tcPr>
          <w:p>
            <w:pPr>
              <w:spacing w:after="0"/>
              <w:rPr>
                <w:sz w:val="11"/>
                <w:szCs w:val="11"/>
                <w:color w:val="auto"/>
              </w:rPr>
            </w:pPr>
          </w:p>
        </w:tc>
        <w:tc>
          <w:tcPr>
            <w:tcW w:w="1220" w:type="dxa"/>
            <w:vAlign w:val="bottom"/>
          </w:tcPr>
          <w:p>
            <w:pPr>
              <w:jc w:val="center"/>
              <w:ind w:left="261"/>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4"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Susquehanna Nuclear</w:t>
      </w:r>
      <w:r>
        <w:rPr>
          <w:rFonts w:ascii="Times New Roman" w:cs="Times New Roman" w:eastAsia="Times New Roman" w:hAnsi="Times New Roman"/>
          <w:sz w:val="18"/>
          <w:szCs w:val="18"/>
          <w:color w:val="auto"/>
        </w:rPr>
        <w:t>. Susquehanna Nuclear and the other joint owner of Susquehanna are each obligated to fund their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Susquehanna's ARO. Susquehanna Nuclear's proportionate share of decommissioning activities will be funded from its NDT when decommissioning commences at the expiration of its licenses. The licenses for Susquehanna Unit 1 and Unit 2 expire in 2042 and 2044 and can be extended subject to NRC approval. The NRC has jurisdiction over the decommissioning of nuclear power generation facilities and requires minimum decommissioning funding based upon a formula. Under the most recent calculation in 2022, Susquehanna Nuclear's NDT funds exceed the NRC's minimum funding requirements. To the extent that Susquehanna Nuclear's actual proportional costs for decommissioning exceed the amounts in the NDT, Susquehanna Nuclear is obligated to fund its remaining proportionate share of the ARO. Susquehanna Nuclear believes its NDT will be adequate to fund its estimated cost of decommissioning. As of December 31, 2023 (Successor), the fair value of the NDT fund was $1.6 billion and the carrying value of Susquehanna Nuclear’s ARO, which is discounted under a present value technique, was $214 million. See Note 2 for additional information on the measurement of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21" w:right="339" w:bottom="1440" w:gutter="0" w:footer="0" w:header="0"/>
          <w:type w:val="continuous"/>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the fourth quarter of 2022 a comprehensive site-specific study was completed for Susquehanna Nuclear decommissioning to estimate the required remediation and (or) removal of generation facility structure and materials. Based on a variety of factors including, changes in assumptions regarding inflation, market risk premiums, the present value discount rate, and the timing of spent fuel remediation, the overall asset retirement obligation decreased by $83 million. The asset retirement obligation of Susquehanna Nuclear was revised at Emergence. A new discount rate resulted in a decrease to the carrying value of the obligations. See Note 4 for additional information.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for additional information on Susquehanna Nuclear’s NDT.</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Talen Montana</w:t>
      </w:r>
      <w:r>
        <w:rPr>
          <w:rFonts w:ascii="Times New Roman" w:cs="Times New Roman" w:eastAsia="Times New Roman" w:hAnsi="Times New Roman"/>
          <w:sz w:val="18"/>
          <w:szCs w:val="18"/>
          <w:color w:val="auto"/>
        </w:rPr>
        <w:t>. Talen Montana has significant decommissioning and environmental remediation liabilities primarily consisting of its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remediation, closure and decommissioning costs for coal ash impoundments at the Colstrip Units. Actual cash expenditures associated with these obligations are expected to materially increase over the next five years, due to the expected timing and scope of anticipated remediation activities, and will continue at a reduced spending level for several decades. Talen Montana, along with the other co-owners of the Colstrip Units, are working with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3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Talen Montana's estimate of its proportionate share of the AROs, discounted using a credit adjusted risk-free rate, was $107 million at December 31, 2023 (Successor) and $89 million at December 31, 2022 (Predecessor).</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Future adjustments may be required to the Talen Montana ARO estimates due to the ongoing remediation requirements under MDEQ obligations and the EPA's coal combustion residuals rule. If the assumptions underlying Talen Montana's estimates do not materialize as expected, actual cash expenditures and costs could be materially different than currently estimated. Moreover, regulatory changes and changes due to ongoing discussions with the MDEQ could affect these obligations.</w:t>
      </w:r>
    </w:p>
    <w:p>
      <w:pPr>
        <w:spacing w:after="0" w:line="1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12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Environmental Costs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Under the Pennsylvania Clean Streams Law, a subsidiary of Talen Generation is obligated to remediate acid mine drainage at a former mine site and may be required to take additional steps to prevent acid mine drainage at this site.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revisions to estimated spend related to expected future work performed at the site a $5 million and $13 million charge were recognized to “Other operating income (expense), net” on the Consolidated Statements of Operations for the period from May 18 through December 31, 2023 (Successor) and the year ended December 31, 2022 (Predecessor), respectively.</w:t>
      </w:r>
    </w:p>
    <w:p>
      <w:pPr>
        <w:spacing w:after="0" w:line="12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Liabilities related to the remediation were $23 million and $34 million at December 31, 2023 (Successor) and December 31, 2022 (Predecessor),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At December 31, 2023 (Successor) the expected undiscounted payments are estimated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3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(Predecessor), all accrued environmental costs, including the ones described above, were presented as "Liabilities subject to compromise"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21" w:right="339" w:bottom="1440" w:gutter="0" w:footer="0" w:header="0"/>
        </w:sectPr>
      </w:pPr>
    </w:p>
    <w:bookmarkStart w:id="248" w:name="page249"/>
    <w:bookmarkEnd w:id="24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u w:val="single" w:color="auto"/>
          <w:color w:val="auto"/>
        </w:rPr>
        <w:t>ERCOT Weather Event Lawsuits.</w:t>
      </w:r>
      <w:r>
        <w:rPr>
          <w:rFonts w:ascii="Times New Roman" w:cs="Times New Roman" w:eastAsia="Times New Roman" w:hAnsi="Times New Roman"/>
          <w:sz w:val="17"/>
          <w:szCs w:val="17"/>
          <w:color w:val="auto"/>
        </w:rPr>
        <w:t xml:space="preserve"> Beginning in March 2021, Talen subsidiaries that own the Barney Davis, Nueces Bay and Laredo generation 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with the First Court of Appeals. If unsuccessful, plaintiffs are expected to petition the Texas Supreme Court to review the decision. Plaintiffs asserting prepetition Winter Storm Uri claims are limited to recovering any damages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20"/>
          </w:cols>
          <w:pgMar w:left="320" w:top="121" w:right="359"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on September 29,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w:t>
      </w:r>
    </w:p>
    <w:p>
      <w:pPr>
        <w:spacing w:after="0" w:line="126" w:lineRule="exact"/>
        <w:rPr>
          <w:sz w:val="20"/>
          <w:szCs w:val="20"/>
          <w:color w:val="auto"/>
        </w:rPr>
      </w:pPr>
    </w:p>
    <w:p>
      <w:pPr>
        <w:ind w:right="380" w:firstLine="324"/>
        <w:spacing w:after="0" w:line="312" w:lineRule="auto"/>
        <w:rPr>
          <w:sz w:val="20"/>
          <w:szCs w:val="20"/>
          <w:color w:val="auto"/>
        </w:rPr>
      </w:pPr>
      <w:r>
        <w:rPr>
          <w:rFonts w:ascii="Times New Roman" w:cs="Times New Roman" w:eastAsia="Times New Roman" w:hAnsi="Times New Roman"/>
          <w:sz w:val="17"/>
          <w:szCs w:val="17"/>
          <w:color w:val="auto"/>
        </w:rPr>
        <w:t>A pre-tax charge of $17 million, net of expected recoveries from Talen’s liability insurance policies, was recognized and presented as “Other non-operating income (expense), net” on the Consolidated Statements of Operations for the period from May 18 through December 31, 2023 (Successor).</w:t>
      </w:r>
    </w:p>
    <w:p>
      <w:pPr>
        <w:spacing w:after="0" w:line="8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Spent Nuclear Fuel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Substantial uncertainty exists regarding the nuclear industry’s permanent disposal of spent nuclear fuel (“SNF”). Federal law requires the U.S. Government to provide for the permanent disposal of commercial SNF fuel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 Nuclear.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20"/>
          </w:cols>
          <w:pgMar w:left="320" w:top="121" w:right="359" w:bottom="1440" w:gutter="0" w:footer="0" w:header="0"/>
        </w:sectPr>
      </w:pPr>
    </w:p>
    <w:bookmarkStart w:id="250" w:name="page251"/>
    <w:bookmarkEnd w:id="25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Nuclear to waive any claims against the U.S. Government for costs paid or injuries sustained related to temporarily storing SNF. For the period from May 18 through December 31, 2023 (Successor), and the years ended December 31, 2022 (Predecessor), and December 31, 2021 (Predecessor), Susquehanna Nuclear received reimbursements of $24 million, $7 million, and $20 million for such costs. In May 2023, this agreement was extended through the end of 2025. We cannot be certain that subsequent amendments will extend these arrangements beyond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Talen Restructuring.</w:t>
      </w:r>
      <w:r>
        <w:rPr>
          <w:rFonts w:ascii="Times New Roman" w:cs="Times New Roman" w:eastAsia="Times New Roman" w:hAnsi="Times New Roman"/>
          <w:sz w:val="18"/>
          <w:szCs w:val="18"/>
          <w:color w:val="auto"/>
        </w:rPr>
        <w:t xml:space="preserve"> Upon Emergence in May 2023, pursuant to the Plan of Reorganization, the Debtors’ liability was discharged for certain claims 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7"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7"/>
          <w:szCs w:val="17"/>
          <w:u w:val="single" w:color="auto"/>
          <w:color w:val="auto"/>
        </w:rPr>
        <w:t>Kinder Morgan Litigation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June 2021, Kinder Morgan filed a suit in Texas state court against Talen Energy Marketing, Nueces Bay and affiliates of 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During the year ended December 31, 2022, Talen recognized an $18 million charge with respect to this suit, which was presented as “Other operating income (expense), net” on the Consolidated Statements of Operations.</w:t>
      </w:r>
    </w:p>
    <w:p>
      <w:pPr>
        <w:spacing w:after="0" w:line="11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u w:val="single" w:color="auto"/>
          <w:color w:val="auto"/>
        </w:rPr>
        <w:t>PPL/Talen Montana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October 2018, the Talen Montana Retirement Plan filed a class action suit in Montana state court against PPL, its 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3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40"/>
          </w:cols>
          <w:pgMar w:left="320" w:top="121"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The final impacts on Talen’s financial condition, results of operations and liquidity are not known at this time.</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on February 6, 2024, FERC rejected the second of PJM’s capacity market reform filings. On February 26, 2024, FERC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21" w:right="33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PJM’s 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7" w:lineRule="exact"/>
        <w:rPr>
          <w:sz w:val="20"/>
          <w:szCs w:val="20"/>
          <w:color w:val="auto"/>
        </w:rPr>
      </w:pPr>
    </w:p>
    <w:p>
      <w:pPr>
        <w:ind w:right="80" w:firstLine="8"/>
        <w:spacing w:after="0" w:line="253" w:lineRule="auto"/>
        <w:tabs>
          <w:tab w:leader="none" w:pos="21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defaulted on settlements and caused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deficit of payments to ERCOT. In May 2022, ERCOT reported a cumulative aggregate payment deficit of approximately $2.3 billion as result of the events. As a result, ERCOT instituted “short payments” that delay the remittance of cash for an uncertain period of time to non-defaulting market participants and will only be paid as ERCOT recovers money from defaulting parties or through the collection of default uplift payments. In September 2022, ERCOT reached a settlement agreement with the largest defaulting market participant. In October 2022, Talen made disbursement elections to receive approximately $5 million for its portion of the $1.3 billion owed to applicable market participants. Each of: (i) Talen’s outstanding receivable that is collectible over a 12-year period pursuant to the settlement; and (ii) the portion of the receivable that is ultimately uncollectible by Talen are non-material amounts.</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3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Reliability Impact Assessment. </w:t>
      </w:r>
      <w:r>
        <w:rPr>
          <w:rFonts w:ascii="Times New Roman" w:cs="Times New Roman" w:eastAsia="Times New Roman" w:hAnsi="Times New Roman"/>
          <w:sz w:val="18"/>
          <w:szCs w:val="18"/>
          <w:color w:val="auto"/>
        </w:rPr>
        <w:t>In April 2023, Talen notified PJM that it will deactivate electric generation at Brandon Shores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2025. In June 2023, PJM notified Brandon Shores that the units were needed for reliability. Talen subsequently notified PJM that it does not agree to continue to operate Brandon Shores under a Reliability Must Run arrangement. Discussions with PJM are ongoing and may result in Brandon Shores continuing to operate for some period of time until transmission constraints hindering reliability are relieved by PJM.</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w:t>
      </w:r>
      <w:r>
        <w:rPr>
          <w:rFonts w:ascii="Times New Roman" w:cs="Times New Roman" w:eastAsia="Times New Roman" w:hAnsi="Times New Roman"/>
          <w:sz w:val="18"/>
          <w:szCs w:val="18"/>
          <w:color w:val="auto"/>
        </w:rPr>
        <w:t>In October 2023, for economic reasons, Talen provided a notice to PJM of its intent to deactivate H.A. Wagner as of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coal-to-fuel oil conversion of H.A. Wagner Unit 3 was completed in December 2023 and will allow the generation facility to serve as a capacity resource until deactivation. In January 2024, PJM notified Wagner that Units 3 and 4 are needed for transmission reliability.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21" w:right="339" w:bottom="1440" w:gutter="0" w:footer="0" w:header="0"/>
        </w:sectPr>
      </w:pPr>
    </w:p>
    <w:bookmarkStart w:id="253" w:name="page254"/>
    <w:bookmarkEnd w:id="25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2023, the EPA proposed additional changes to the EPA ELG Rule and to the EPA CCR Rule. The EPA ELG Rule proposal does not add treatment requirements to Talen’s coal-fired power generation facilities planning to cease the burning of coal by 2028, but it does propose discharge limits for waters collected from CCR units. With respect to the EPA CCR Rule, the EPA has proposed to impose new requirements on legacy CCR impoundments and facilities where CCR was disposed of or managed on land outside of regulated units at CCR facilities, which could affect several Talen facilities. Furthermore, the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31"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20"/>
          </w:cols>
          <w:pgMar w:left="320" w:top="121" w:right="3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on February 21,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issued its EPA RTR for coal-fired generation facilities under the EPA NESHAP, which proposes changes to the EPA MATS Rule, most notably to reduce particulate matter emissions from coal plants. Talen submitted formal comments on the EPA RTR, indicating that the new EPA MATS Rule, if finalized, would unreasonably require Colstrip to install new control equipment. At this time, Talen cannot predict the outcome of this potential rule change on the operations of its generation facilities and its results of operations.</w:t>
      </w:r>
    </w:p>
    <w:p>
      <w:pPr>
        <w:spacing w:after="0" w:line="127"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on November 21,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greenhouse gas emission reductions. In May 2023, the EPA proposed a new rule under the Clean Air Act that would establish new source performance standards for new electric generating units and emission guidelines for existing EGUs for state implementation. The rule is expected to be finalized in mid-2024. The proposed guidelines would allow all existing EGUs to continue to operate until at least the end of 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greenhouse gas reductions for large, baseload coal plants like Colstrip. However, until the rule is finalized, Talen is unable to determine the full impact of the proposed rule on its results of operations and liquidity.</w:t>
      </w:r>
    </w:p>
    <w:p>
      <w:pPr>
        <w:spacing w:after="0" w:line="13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21" w:right="339" w:bottom="1440" w:gutter="0" w:footer="0" w:header="0"/>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December 31, 2023 (Successor) and December 31, 2022 (Predecessor), the aggregate amount of surety bonds outstanding was $240 million and $248 million, including surety bonds posted on behalf of Talen Montana as discussed below. Included in TES’s outstanding sureties as of December 31, 2023 (Successor) is a bond in the amount of $10 million that was issued on behalf of Cumulus Data for support of its development and construction activities.</w:t>
      </w:r>
    </w:p>
    <w:p>
      <w:pPr>
        <w:spacing w:after="0" w:line="131"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TES has posted an aggregate $115 million of surety bonds to the MDEQ on behalf of Talen Montana’s proportional share of remediation and closure activities as of December 31, 2023 (Successor) and $113 million as of December 31, 2022 (Predecessor).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27"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Assurances. </w:t>
      </w:r>
      <w:r>
        <w:rPr>
          <w:rFonts w:ascii="Times New Roman" w:cs="Times New Roman" w:eastAsia="Times New Roman" w:hAnsi="Times New Roman"/>
          <w:sz w:val="18"/>
          <w:szCs w:val="18"/>
          <w:color w:val="auto"/>
        </w:rPr>
        <w:t>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payment in full of the Cumulus Digital TLF on March 1, 2024.</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20"/>
          </w:cols>
          <w:pgMar w:left="320" w:top="121" w:right="35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Nuclear Insurance. </w:t>
      </w: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public liability claims arising from a nuclear incident at any U.S. licensed nuclear facility. It also seeks to limit the liability of nuclear reactor owners for such claims from any single incident. As of December 31, 2023 (Successor), the liability limit per incident is $16.2 billion for such claims, which is funded by insurance coverage from American Nuclear Insurers (approximately $450 million in coverage), with the remainder covered by an industry retrospective assessment program. On January 1, 2024, American Nuclear Insurers increased primary insurance coverage to $500 million, resulting in a commensurate increase in total coverage.</w:t>
      </w:r>
    </w:p>
    <w:p>
      <w:pPr>
        <w:spacing w:after="0" w:line="13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under the industry retrospective assessment program, in the event of a nuclear incident at any of the reactors covered by the Price-Anderson Act, Susquehanna Nuclear could be assessed deferred premiums of up to $332 million per incident, payable at a maximum of $49 million per year.</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As of December 31, 2023 (Successor),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as of December 31, 2023 (Successor). Talen has additional coverage that, under certain conditions, may reduce this exposure.</w:t>
      </w:r>
    </w:p>
    <w:p>
      <w:pPr>
        <w:spacing w:after="0" w:line="1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Talen Montana Fuel Supply. </w:t>
      </w:r>
      <w:r>
        <w:rPr>
          <w:rFonts w:ascii="Times New Roman" w:cs="Times New Roman" w:eastAsia="Times New Roman" w:hAnsi="Times New Roman"/>
          <w:sz w:val="18"/>
          <w:szCs w:val="18"/>
          <w:color w:val="auto"/>
        </w:rPr>
        <w:t>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40"/>
          </w:cols>
          <w:pgMar w:left="320" w:top="121"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have requested an extension of the deadline to complete the updated EIS until June 30, 2025, which is under consideration by the District Court.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Long-Term Debt and Other Credit Facilities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160" w:type="dxa"/>
            <w:vAlign w:val="bottom"/>
          </w:tcPr>
          <w:p>
            <w:pPr>
              <w:spacing w:after="0"/>
              <w:rPr>
                <w:sz w:val="11"/>
                <w:szCs w:val="11"/>
                <w:color w:val="auto"/>
              </w:rPr>
            </w:pPr>
          </w:p>
        </w:tc>
        <w:tc>
          <w:tcPr>
            <w:tcW w:w="1780" w:type="dxa"/>
            <w:vAlign w:val="bottom"/>
            <w:gridSpan w:val="2"/>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160" w:type="dxa"/>
            <w:vAlign w:val="bottom"/>
          </w:tcPr>
          <w:p>
            <w:pPr>
              <w:spacing w:after="0"/>
              <w:rPr>
                <w:sz w:val="17"/>
                <w:szCs w:val="17"/>
                <w:color w:val="auto"/>
              </w:rPr>
            </w:pPr>
          </w:p>
        </w:tc>
        <w:tc>
          <w:tcPr>
            <w:tcW w:w="178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2009B Bonds </w:t>
            </w:r>
            <w:r>
              <w:rPr>
                <w:rFonts w:ascii="Times New Roman" w:cs="Times New Roman" w:eastAsia="Times New Roman" w:hAnsi="Times New Roman"/>
                <w:sz w:val="23"/>
                <w:szCs w:val="23"/>
                <w:color w:val="auto"/>
                <w:vertAlign w:val="superscript"/>
              </w:rPr>
              <w: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2009C Bonds </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Secured Notes</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Unsecured Notes </w:t>
            </w:r>
            <w:r>
              <w:rPr>
                <w:rFonts w:ascii="Times New Roman" w:cs="Times New Roman" w:eastAsia="Times New Roman" w:hAnsi="Times New Roman"/>
                <w:sz w:val="23"/>
                <w:szCs w:val="23"/>
                <w:color w:val="auto"/>
                <w:vertAlign w:val="superscript"/>
              </w:rPr>
              <w:t>(c)</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2009A Bonds </w:t>
            </w:r>
            <w:r>
              <w:rPr>
                <w:rFonts w:ascii="Times New Roman" w:cs="Times New Roman" w:eastAsia="Times New Roman" w:hAnsi="Times New Roman"/>
                <w:sz w:val="23"/>
                <w:szCs w:val="23"/>
                <w:color w:val="auto"/>
                <w:vertAlign w:val="superscript"/>
              </w:rPr>
              <w:t>(c)</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5,091</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December 31, 2023 (Successor).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“Cumulus Digital Assurances” in Note 12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amounts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21"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long-term debt maturities, including quarterly amortization and early redemption provisions, at December 31, 2023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2027 </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$182 million of limited-recourse indebtedness under the Cumulus Digital TLF.</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20" w:type="dxa"/>
            <w:vAlign w:val="bottom"/>
          </w:tcPr>
          <w:p>
            <w:pPr>
              <w:spacing w:after="0"/>
              <w:rPr>
                <w:sz w:val="11"/>
                <w:szCs w:val="11"/>
                <w:color w:val="auto"/>
              </w:rPr>
            </w:pPr>
          </w:p>
        </w:tc>
        <w:tc>
          <w:tcPr>
            <w:tcW w:w="9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20" w:type="dxa"/>
            <w:vAlign w:val="bottom"/>
          </w:tcPr>
          <w:p>
            <w:pPr>
              <w:spacing w:after="0"/>
              <w:rPr>
                <w:sz w:val="11"/>
                <w:szCs w:val="11"/>
                <w:color w:val="auto"/>
              </w:rPr>
            </w:pPr>
          </w:p>
        </w:tc>
        <w:tc>
          <w:tcPr>
            <w:tcW w:w="960" w:type="dxa"/>
            <w:vAlign w:val="bottom"/>
          </w:tcPr>
          <w:p>
            <w:pPr>
              <w:jc w:val="center"/>
              <w:ind w:right="134"/>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40" w:type="dxa"/>
            <w:vAlign w:val="bottom"/>
          </w:tcPr>
          <w:p>
            <w:pPr>
              <w:spacing w:after="0"/>
              <w:rPr>
                <w:sz w:val="11"/>
                <w:szCs w:val="11"/>
                <w:color w:val="auto"/>
              </w:rPr>
            </w:pPr>
          </w:p>
        </w:tc>
        <w:tc>
          <w:tcPr>
            <w:tcW w:w="840" w:type="dxa"/>
            <w:vAlign w:val="bottom"/>
          </w:tcPr>
          <w:p>
            <w:pPr>
              <w:jc w:val="right"/>
              <w:ind w:right="374"/>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TLC LCF </w:t>
            </w:r>
            <w:r>
              <w:rPr>
                <w:rFonts w:ascii="Times New Roman" w:cs="Times New Roman" w:eastAsia="Times New Roman" w:hAnsi="Times New Roman"/>
                <w:sz w:val="23"/>
                <w:szCs w:val="23"/>
                <w:color w:val="auto"/>
                <w:vertAlign w:val="superscript"/>
              </w:rPr>
              <w:t>(b)</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RCF </w:t>
            </w:r>
            <w:r>
              <w:rPr>
                <w:rFonts w:ascii="Times New Roman" w:cs="Times New Roman" w:eastAsia="Times New Roman" w:hAnsi="Times New Roman"/>
                <w:sz w:val="23"/>
                <w:szCs w:val="23"/>
                <w:color w:val="auto"/>
                <w:vertAlign w:val="superscript"/>
              </w:rPr>
              <w:t>(c)</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LCF </w:t>
            </w:r>
            <w:r>
              <w:rPr>
                <w:rFonts w:ascii="Times New Roman" w:cs="Times New Roman" w:eastAsia="Times New Roman" w:hAnsi="Times New Roman"/>
                <w:sz w:val="23"/>
                <w:szCs w:val="23"/>
                <w:color w:val="auto"/>
                <w:vertAlign w:val="superscript"/>
              </w:rPr>
              <w:t>(c)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CAF </w:t>
            </w:r>
            <w:r>
              <w:rPr>
                <w:rFonts w:ascii="Times New Roman" w:cs="Times New Roman" w:eastAsia="Times New Roman" w:hAnsi="Times New Roman"/>
                <w:sz w:val="23"/>
                <w:szCs w:val="23"/>
                <w:color w:val="auto"/>
                <w:vertAlign w:val="superscript"/>
              </w:rPr>
              <w:t>(c)(d)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RCF</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Extinguished as of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was 12.12% at December 31, 2022 (Predecessor).</w:t>
      </w:r>
    </w:p>
    <w:p>
      <w:pPr>
        <w:spacing w:after="0" w:line="16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RCF and the LMBE-MC RCF, when applicable, are each presented as “Revolving credit facilities” on the Consolidated Balance Sheets.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(Successor) Talen was not in default under any of its indebtedness agreements.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were paid in full on March 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all accrued interest and other outstanding amounts. See below under “Non-Recourse Debt and Other Credit Facilities – Cumulus Digital TLF” for additional information on the release of liens, termination of guarantees, and the cancellation of LCs. See Note 22 for additional information on the Data Center Campus Sale.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Transactions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LMBE-MC Refinancing. </w:t>
      </w:r>
      <w:r>
        <w:rPr>
          <w:rFonts w:ascii="Times New Roman" w:cs="Times New Roman" w:eastAsia="Times New Roman" w:hAnsi="Times New Roman"/>
          <w:sz w:val="18"/>
          <w:szCs w:val="18"/>
          <w:color w:val="auto"/>
        </w:rPr>
        <w:t>In August 2023, we incurred an additional $290 million in aggregate principal amount of TLB, resulting in proceeds of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original issue discount and other fees. The additional amount was issued as an incremental borrowing under the TLB and constitutes a single series of indebtedness with the existing TLB incurred at Emergence. The proceeds were used, together with cash on hand, to fully repay the $293 million in aggregate principal amount outstanding under the LMBE-MC TLB. The LMBE-MC Credit Agreement (including the LMBE-MC TLB and LMBE-MC RCF), including an aggregate $12 million of outstanding LCs issued under the agreement, was terminated at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21" w:right="339" w:bottom="1440" w:gutter="0" w:footer="0" w:header="0"/>
        </w:sectPr>
      </w:pPr>
    </w:p>
    <w:bookmarkStart w:id="259" w:name="page260"/>
    <w:bookmarkEnd w:id="259"/>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Successor Emergence Financings. </w:t>
      </w:r>
      <w:r>
        <w:rPr>
          <w:rFonts w:ascii="Times New Roman" w:cs="Times New Roman" w:eastAsia="Times New Roman" w:hAnsi="Times New Roman"/>
          <w:sz w:val="18"/>
          <w:szCs w:val="18"/>
          <w:color w:val="auto"/>
        </w:rPr>
        <w:t>In May 2023, as part of the Exit Financings, TES issued the following long-term debt:</w:t>
      </w:r>
    </w:p>
    <w:p>
      <w:pPr>
        <w:spacing w:after="0" w:line="173" w:lineRule="exact"/>
        <w:rPr>
          <w:sz w:val="20"/>
          <w:szCs w:val="20"/>
          <w:color w:val="auto"/>
        </w:rPr>
      </w:pPr>
    </w:p>
    <w:p>
      <w:pPr>
        <w:ind w:left="660" w:right="18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resulting in proceeds of $548 million, net of original issue discount and other fees;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resulting in proceeds of $446 million, net of original issue discount and other fees;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$1.2 billion, resulting in proceeds of $1.179 billion, net of initial purchaser discounts and other fees.</w:t>
      </w:r>
    </w:p>
    <w:p>
      <w:pPr>
        <w:spacing w:after="0" w:line="10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Proceeds from the TLB and the Secured Notes were used, together with cash on hand, to fund the settlement of the transactions and claims contemplated by the Plan of Reorganization, including cash settlement of the long-term debt and cash revolver borrowings outstanding under the DIP Facilities, Prepetition TLB, Prepetition Secured Notes, and Prepetition CAF, all of which were extinguished as of May 17, 2023 under the Plan of Reorganization. Proceeds from the TLC were used to cash collateralize letters of credit under the TLC LCF.</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Also, as part of the Exit Financings, TES entered into the following revolving and letter of credit facilities:</w:t>
      </w:r>
    </w:p>
    <w:p>
      <w:pPr>
        <w:spacing w:after="0" w:line="171" w:lineRule="exact"/>
        <w:rPr>
          <w:sz w:val="20"/>
          <w:szCs w:val="20"/>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a $700 million revolving credit facility, including letter of credit commitments of $475 million;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letters of credit,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letters of credit.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Emergence, LCs were issued under the TLC LCF and the Bilateral LCF to backstop or replace LCs previously outstanding under the DIP Facilities, which were extinguished as of May 17, 2023.</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below for additional information on our Credit Facilities and Secured Notes. See Note 3 for additional information on the Restructuring.</w:t>
      </w:r>
    </w:p>
    <w:p>
      <w:pPr>
        <w:spacing w:after="0" w:line="106"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Emergence Equitization. </w:t>
      </w:r>
      <w:r>
        <w:rPr>
          <w:rFonts w:ascii="Times New Roman" w:cs="Times New Roman" w:eastAsia="Times New Roman" w:hAnsi="Times New Roman"/>
          <w:sz w:val="18"/>
          <w:szCs w:val="18"/>
          <w:color w:val="auto"/>
        </w:rPr>
        <w:t>All of the Prepetition Secured Notes and the PEDFA 2009A Bonds were extinguished as of May 17, 2023 under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through the issuance of TEC common stock. See Notes 3 and 4 for additional information on the Restructuring and fresh start accounting adjustments related to indebtedness.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Transactions</w:t>
      </w:r>
    </w:p>
    <w:p>
      <w:pPr>
        <w:spacing w:after="0" w:line="17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DIP Facilities</w:t>
      </w:r>
      <w:r>
        <w:rPr>
          <w:rFonts w:ascii="Times New Roman" w:cs="Times New Roman" w:eastAsia="Times New Roman" w:hAnsi="Times New Roman"/>
          <w:sz w:val="18"/>
          <w:szCs w:val="18"/>
          <w:color w:val="auto"/>
        </w:rPr>
        <w:t>. In May 2022, TES entered into the DIP Facilities, including the DIP TLB, a term loan B facility in an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billion that provided $971 million of proceeds, net of discount and fees.</w:t>
      </w:r>
    </w:p>
    <w:p>
      <w:pPr>
        <w:spacing w:after="0" w:line="104"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2022, as a result of the Cumulus Digital Equity Conversion, TES consolidated Cumulus Digital Holdings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purposes and, accordingly, also consolidated the Cumulus Digital TLF.</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Pre-Restructuring Long-Term Debt, Revolving Credit and Other Facilities</w:t>
      </w:r>
    </w:p>
    <w:p>
      <w:pPr>
        <w:spacing w:after="0" w:line="17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Outstanding Prepetition Indebtedness. </w:t>
      </w:r>
      <w:r>
        <w:rPr>
          <w:rFonts w:ascii="Times New Roman" w:cs="Times New Roman" w:eastAsia="Times New Roman" w:hAnsi="Times New Roman"/>
          <w:sz w:val="18"/>
          <w:szCs w:val="18"/>
          <w:color w:val="auto"/>
        </w:rPr>
        <w:t>Upon commencement of the Restructuring, (i) TES’s Prepetition Secured Indebtedness consisted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Prepetition TLB, Prepetition CAF, and Prepetition Secured Notes; and (ii) TES’s Prepetition Unsecured Indebtedness consisted of the Prepetition Unsecured Notes and PEDFA Bonds, as further outlined in the tables above.</w:t>
      </w:r>
    </w:p>
    <w:p>
      <w:pPr>
        <w:spacing w:after="0" w:line="119" w:lineRule="exact"/>
        <w:rPr>
          <w:sz w:val="20"/>
          <w:szCs w:val="20"/>
          <w:color w:val="auto"/>
        </w:rPr>
      </w:pPr>
    </w:p>
    <w:p>
      <w:pPr>
        <w:ind w:right="7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Effects of the Restructuring on Prepetition Indebtedness. </w:t>
      </w:r>
      <w:r>
        <w:rPr>
          <w:rFonts w:ascii="Times New Roman" w:cs="Times New Roman" w:eastAsia="Times New Roman" w:hAnsi="Times New Roman"/>
          <w:sz w:val="18"/>
          <w:szCs w:val="18"/>
          <w:color w:val="auto"/>
        </w:rPr>
        <w:t>Commencement of the Restructuring constituted an event of default and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TES’s then-outstanding Prepetition Indebtedness, other than the PEDFA 2009B and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00"/>
          </w:cols>
          <w:pgMar w:left="320" w:top="121" w:right="37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TES’s Prepetition Indebtedness other than the PEDFA 2009B and 2009C Bonds (i.e., the Prepetition TLB, Prepetition Secured Notes, Prepetition Unsecured Notes, PEDFA 2009A Bonds, and Prepetition CAF) was extinguished as of May 17, 2023 under the Plan of Reorganization. The PEDFA 2009B and 2009C Bonds remained outstanding. See “2023 Transactions - Successor Emergence Financings” above for additional information about the repayment of the Prepetition TLB, Prepetition Secured Notes, and Prepetition CAF, and See “2023 Transactions - Emergence Equitization” above for additional information about the equitization of the Prepetition Unsecured Notes and PEDFA 2009A Bonds.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 including the Exit Financings.</w:t>
      </w:r>
    </w:p>
    <w:p>
      <w:pPr>
        <w:spacing w:after="0" w:line="169"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Prepetition LCFs. </w:t>
      </w:r>
      <w:r>
        <w:rPr>
          <w:rFonts w:ascii="Times New Roman" w:cs="Times New Roman" w:eastAsia="Times New Roman" w:hAnsi="Times New Roman"/>
          <w:sz w:val="18"/>
          <w:szCs w:val="18"/>
          <w:color w:val="auto"/>
        </w:rPr>
        <w:t>LC issuances were not permitted under the Prepetition LCFs due to the Restructuring. We terminated one Prepetition LCF in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the other expired in June 2023.</w:t>
      </w:r>
    </w:p>
    <w:p>
      <w:pPr>
        <w:spacing w:after="0" w:line="10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Prepetition Secured ISDAs. </w:t>
      </w:r>
      <w:r>
        <w:rPr>
          <w:rFonts w:ascii="Times New Roman" w:cs="Times New Roman" w:eastAsia="Times New Roman" w:hAnsi="Times New Roman"/>
          <w:sz w:val="18"/>
          <w:szCs w:val="18"/>
          <w:color w:val="auto"/>
        </w:rPr>
        <w:t>Prior to commencement of the Restructuring, Talen Energy Marketing was party to the Prepetition Secured ISDAs,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TES and the Prepetition Guarantors provided the applicable counterparties with a first priority lien on and security interest (which ranked pari passu with the liens securing the Prepetition Secured Indebtedness) in certain assets in lieu of posting collateral in the form of cash equivalents or LCs. Following commencement of the Restructuring, a portion of the Prepetition Secured ISDAs were rolled over into DIP Secured ISDAs. As of May 18, 2023, post-emergence from Restructuring, the remaining Prepetition Secured ISDAs were rolled into the Secured ISDAs.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DIP Facilities</w:t>
      </w:r>
    </w:p>
    <w:p>
      <w:pPr>
        <w:spacing w:after="0" w:line="17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Facilities. </w:t>
      </w:r>
      <w:r>
        <w:rPr>
          <w:rFonts w:ascii="Times New Roman" w:cs="Times New Roman" w:eastAsia="Times New Roman" w:hAnsi="Times New Roman"/>
          <w:sz w:val="18"/>
          <w:szCs w:val="18"/>
          <w:color w:val="auto"/>
        </w:rPr>
        <w:t>Upon commencement of the Restructuring, TES entered into the DIP Facilities, comprised of: (i) the DIP RCF, a $300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including a letter of credit sub-facility of up to $75 million; (ii) the DIP TLB, a term loan B facility in an aggregate principal amount of $1 billion; and (iii) the DIP LCF, a letter of credit facility that provided for approximately $458 million of LCs outstanding under the Prepetition RCF as of commencement of the Restructuring to remain outstanding with superpriority status. Amounts owed under the DIP RCF and DIP TLB were repaid in full, and all DIP Facilities terminated, upon the Debtors’ Emergence from the Restructuring. However, certain LCs issued (or continued) under the DIP RCF and DIP LCF remain outstanding and are now backstopped by LCs issued under the TLC LCF in favor of the applicable DIP LC issuers.</w:t>
      </w:r>
    </w:p>
    <w:p>
      <w:pPr>
        <w:spacing w:after="0" w:line="12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Secured ISDAs. </w:t>
      </w:r>
      <w:r>
        <w:rPr>
          <w:rFonts w:ascii="Times New Roman" w:cs="Times New Roman" w:eastAsia="Times New Roman" w:hAnsi="Times New Roman"/>
          <w:sz w:val="18"/>
          <w:szCs w:val="18"/>
          <w:color w:val="auto"/>
        </w:rPr>
        <w:t>Following commencement of the Restructuring, and as authorized by a final order of the Bankruptcy Court, Talen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was party to certain DIP Secured ISDAs that were continuations of the Prepetition Secured ISDAs but under which TES and the Debtors provided the applicable counterparties with a superpriority lien on and security interest (which ranked pari passu with the liens securing the DIP Facilities) in certain assets in lieu of posting collateral in the form of cash equivalents or LCs. As of May 18, 2023, post-emergence from Restructuring, the DIP Secured ISDAs were rolled into the Secured ISDAs and the associated superpriority liens were extinguished and replaced with the first priority liens securing the Secured ISDAs.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21"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394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Energy Supply Post-Emergence Long-Term Debt, Revolving Credit and Other Facilities </w:t>
      </w:r>
      <w:r>
        <w:rPr>
          <w:rFonts w:ascii="Times New Roman" w:cs="Times New Roman" w:eastAsia="Times New Roman" w:hAnsi="Times New Roman"/>
          <w:sz w:val="18"/>
          <w:szCs w:val="18"/>
          <w:color w:val="auto"/>
        </w:rPr>
        <w:t>Certain key terms of our post-emergence facilities include:</w:t>
      </w:r>
    </w:p>
    <w:tbl>
      <w:tblPr>
        <w:tblLayout w:type="fixed"/>
        <w:tblInd w:w="54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40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ind w:left="20"/>
        <w:spacing w:after="0"/>
        <w:tabs>
          <w:tab w:leader="none" w:pos="1620" w:val="left"/>
          <w:tab w:leader="none" w:pos="3080" w:val="left"/>
          <w:tab w:leader="none" w:pos="490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8.625% per annum fixed rate</w:t>
      </w:r>
    </w:p>
    <w:p>
      <w:pPr>
        <w:ind w:left="4920"/>
        <w:spacing w:after="0" w:line="219" w:lineRule="auto"/>
        <w:rPr>
          <w:sz w:val="20"/>
          <w:szCs w:val="20"/>
          <w:color w:val="auto"/>
        </w:rPr>
      </w:pPr>
      <w:r>
        <w:rPr>
          <w:rFonts w:ascii="Times New Roman" w:cs="Times New Roman" w:eastAsia="Times New Roman" w:hAnsi="Times New Roman"/>
          <w:sz w:val="18"/>
          <w:szCs w:val="18"/>
          <w:color w:val="auto"/>
        </w:rPr>
        <w:t>No applicable margin</w:t>
      </w: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4740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3.00% based on first lien net</w:t>
            </w:r>
          </w:p>
        </w:tc>
      </w:tr>
      <w:tr>
        <w:trPr>
          <w:trHeight w:val="175"/>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quarters</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0.125% per annum Fronting Fee</w:t>
            </w:r>
          </w:p>
        </w:tc>
      </w:tr>
      <w:tr>
        <w:trPr>
          <w:trHeight w:val="204"/>
        </w:trPr>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900" w:type="dxa"/>
            <w:vAlign w:val="bottom"/>
          </w:tcPr>
          <w:p>
            <w:pPr>
              <w:ind w:left="480"/>
              <w:spacing w:after="0" w:line="204"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2211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027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02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at par plus a customary “make-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whole” premium. 10% redeemable during each 12-month period at 103%. 40% redeemable from the proceeds of certain equity offerings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108.625%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219" w:lineRule="auto"/>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4445</wp:posOffset>
            </wp:positionV>
            <wp:extent cx="23831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1.00% to the extent prepaid prior to February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-123190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-106045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-71755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-54610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-37465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-20320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30480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47625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64770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81915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99060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116205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150495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167640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184785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201930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219075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248920</wp:posOffset>
            </wp:positionV>
            <wp:extent cx="238315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-110490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-93345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-59055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-41910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-24765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128905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163195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180340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197485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214630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231775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248920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266065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283210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300355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317500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334645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351790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368935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386080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403225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420370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437515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454660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471805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488950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506095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523240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540385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557530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574675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480060</wp:posOffset>
            </wp:positionV>
            <wp:extent cx="23831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280"/>
            <w:col w:w="3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2028</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-256540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-239395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-136525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-119380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-102235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-85090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-67945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-50800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-33655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The Credit Agreement governs the RCF, TLB, TLC, and TLC LCF.</w:t>
      </w:r>
    </w:p>
    <w:p>
      <w:pPr>
        <w:spacing w:after="0" w:line="17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2.75 to 1.00 as of June 30, 2023 and increasing through a series of step-ups until 4.25 to 1.00 (to be tested as of June 30, 2024 and thereafter). The financial covenant does not apply to the TLB, TLC, or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40"/>
          </w:cols>
          <w:pgMar w:left="320" w:top="121" w:right="339" w:bottom="1440" w:gutter="0" w:footer="0" w:header="0"/>
          <w:type w:val="continuous"/>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TLC LCF</w:t>
      </w:r>
      <w:r>
        <w:rPr>
          <w:rFonts w:ascii="Times New Roman" w:cs="Times New Roman" w:eastAsia="Times New Roman" w:hAnsi="Times New Roman"/>
          <w:sz w:val="18"/>
          <w:szCs w:val="18"/>
          <w:color w:val="auto"/>
        </w:rPr>
        <w:t>. The TLC LCF provides commitments for up to $470 million in letters of credit, cash collateralized with the proceeds of the TLC,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December 31, 2023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Bilateral LCF</w:t>
      </w:r>
      <w:r>
        <w:rPr>
          <w:rFonts w:ascii="Times New Roman" w:cs="Times New Roman" w:eastAsia="Times New Roman" w:hAnsi="Times New Roman"/>
          <w:sz w:val="18"/>
          <w:szCs w:val="18"/>
          <w:color w:val="auto"/>
        </w:rPr>
        <w:t>. The Bilateral LC Agreement provides for letter of credit issuances that collectively cannot exceed $75 million and expires in May 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Notes</w:t>
      </w:r>
      <w:r>
        <w:rPr>
          <w:rFonts w:ascii="Times New Roman" w:cs="Times New Roman" w:eastAsia="Times New Roman" w:hAnsi="Times New Roman"/>
          <w:sz w:val="18"/>
          <w:szCs w:val="18"/>
          <w:color w:val="auto"/>
        </w:rPr>
        <w:t>. Interest on the Secured Notes is payable semi-annually on June 1 and December 1 of each year, commencing on December 1,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PEDFA Bonds</w:t>
      </w:r>
      <w:r>
        <w:rPr>
          <w:rFonts w:ascii="Times New Roman" w:cs="Times New Roman" w:eastAsia="Times New Roman" w:hAnsi="Times New Roman"/>
          <w:sz w:val="18"/>
          <w:szCs w:val="18"/>
          <w:color w:val="auto"/>
        </w:rPr>
        <w:t>. The PEDFA 2009B and 2009C Bonds remained outstanding following Emergence. These bonds are backstopped by LCs totaling</w:t>
      </w:r>
    </w:p>
    <w:p>
      <w:pPr>
        <w:spacing w:after="0" w:line="2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$133 million as of December 31, 2023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13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 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 (ii) 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21" w:right="339" w:bottom="1440" w:gutter="0" w:footer="0" w:header="0"/>
        </w:sectPr>
      </w:pPr>
    </w:p>
    <w:bookmarkStart w:id="263" w:name="page264"/>
    <w:bookmarkEnd w:id="263"/>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w:t>
      </w:r>
    </w:p>
    <w:p>
      <w:pPr>
        <w:spacing w:after="0" w:line="13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Secured ISDAs</w:t>
      </w:r>
      <w:r>
        <w:rPr>
          <w:rFonts w:ascii="Times New Roman" w:cs="Times New Roman" w:eastAsia="Times New Roman" w:hAnsi="Times New Roman"/>
          <w:sz w:val="18"/>
          <w:szCs w:val="18"/>
          <w:color w:val="auto"/>
        </w:rPr>
        <w:t>. Talen Energy Marketing is party to certain Secured ISDAs, a portion of which are continuations of either the Prepetition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ISDAs or 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$58 million as of December 31, 2023 (Successor).</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Guarantees, and Cross-Defaults on TES Post-Emergence Obligations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Obligations. </w:t>
      </w:r>
      <w:r>
        <w:rPr>
          <w:rFonts w:ascii="Times New Roman" w:cs="Times New Roman" w:eastAsia="Times New Roman" w:hAnsi="Times New Roman"/>
          <w:sz w:val="18"/>
          <w:szCs w:val="18"/>
          <w:color w:val="auto"/>
        </w:rPr>
        <w:t>The obligations under the Credit Facilities, Secured Notes, and Secured ISDAs are secured by a first priority lien 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substantially all of the assets of TES and the Subsidiary Guarantors. The LCs issued pursuant to the TLC LCF are cash collateralized by $472 million as of December 31, 2023 (Successor) (which is presented as “Restricted cash and cash equivalents” on the Consolidated Balance Sheets), with such amounts being held in restricted collateral accounts, first, for the benefit of the issuers of LCs pursuant to the TLC LCF and, thereafter, as security for the obligations under the Credit Facilities (other than the TLC LCF), Secured Notes, and Secured ISDAs.</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Subsidiary Guarantors guarantee the obligations of TES under the Credit Facilities and the Secured Notes. TES and the Subsidiary Guarantors guarantee the obligations of Talen Energy Marketing under the Secured ISDAs. The maximum amount of potential future payments by the Subsidiary Guarantors is equal to the maximum amount of outstanding obligations under such agreements and may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27"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Unsecured Obligations. </w:t>
      </w:r>
      <w:r>
        <w:rPr>
          <w:rFonts w:ascii="Times New Roman" w:cs="Times New Roman" w:eastAsia="Times New Roman" w:hAnsi="Times New Roman"/>
          <w:sz w:val="18"/>
          <w:szCs w:val="18"/>
          <w:color w:val="auto"/>
        </w:rPr>
        <w:t>The PEDFA 2009B and 2009C Bonds are senior unsecured obligations of TES that are effectively subordinated to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TES, including the Credit Facilities, Secured Notes, and Secured ISDAs, to the extent of the value of the assets securing such secured obligations.</w:t>
      </w:r>
    </w:p>
    <w:p>
      <w:pPr>
        <w:spacing w:after="0" w:line="121"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guarantees under the PEDFA 2009B and 2009C Bonds are the general unsecured obligations of the Subsidiary Guarantors that guarantee such indebtedness, rank equally with all of such Subsidiary Guarantors’ other senior unsecured indebtedness, and are effectively subordinated to the secured obligations of the Subsidiary Guarantors, including the Credit Facilities, Secured Notes, and Secured ISDAs, to the extent of the value of the assets securing such secured obligations.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Non-Recourse Debt and Other Credit Facilities</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2021, Cumulus Digital executed the Cumulus Digital TLF, which provided for up to $175 million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borrowings and matures in September 2027. Cumulus Digital borrowed $60 million at closing of the loan transaction, and made additional borrowings over time to fund Cumulus Coin’s contributions to Nautilus and Cumulus Data’s construction of certain data center electrical infrastructure that will support the operations of both Cumulus Data and Nautilus. In connection with a settlement in connection with the Restructuring, Cumulus Digital borrowed the remaining available principal amount in the third quarter 2022. The Cumulus Digital TLF were paid in full on March 1, 2024, together with all accrued interest and other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20"/>
          </w:cols>
          <w:pgMar w:left="320" w:top="121" w:right="359" w:bottom="1440" w:gutter="0" w:footer="0" w:header="0"/>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March 2023, the Cumulus Digital TLF was amended to, among other things, add a requirement that Cumulus Digital procure up to $16 million in equity funding for Cumulus Data to complete construction of the first data center shell and related infrastructure. The required funding was provided during the second quarter 2023.</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Interest on outstanding borrowings was payable quarterly at 12.50% per annum. Interest was initially payable in cash or, at Cumulus Digital’s election for the first four quarterly payment dates, 10% in cash with the remaining 2.50% capitalized as additional principal. In connection with a settlement in connection with the Restructuring, the Cumulus Digital TLF was amended to provide that all interest that accrued thereunder from July 1, 2022 through June 30, 2023 was capitalized as additional principal, and thereafter paid in cash.</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Cumulus Digital TLF was subject to customary representations and warranties, affirmative covenants, negative covenants, and events of default. Notable covenants included limitations on incurrence of liens and additional indebtedness, payment of dividends and asset sales. The Cumulus Digital TLF was subject to customary events of default, including: nonpayment of principal or interest when due, breach of covenants, and the bankruptcy of Cumulus Digital Holdings or any of its subsidiaries. It was also an event of default if TEC filed for bankruptcy while the TEC guarantee described below was in effect. This event of default was waived for purposes of TEC's inclusion in the Restructuring in December 2022, provided that the guarantee was assumed by TEC in the Restructuring as contemplated in the Plan of Reorganization.</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Cumulus Digital TLF were secured equally and ratably by first priority liens and security interests in substantially all the assets of Cumulus Digital and its subsidiaries (other than the assets of Nautilus), as well as a pledge of equity in Cumulus Digital by its direct parent, Cumulus Digital Holdings. These liens and security interests were released upon the payment in full of the Cumulus Digital TLF on March 1, 2024.</w:t>
      </w:r>
    </w:p>
    <w:p>
      <w:pPr>
        <w:spacing w:after="0" w:line="12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obligations under the Cumulus Digital TLF were guaranteed by Cumulus Digital Holdings and each of Cumulus Digital’s subsidiaries (other than Nautilus). The guarantee was terminated upon the payment in full of the Cumulus Digital TLF on March 1, 2024.</w:t>
      </w:r>
    </w:p>
    <w:p>
      <w:pPr>
        <w:spacing w:after="0" w:line="10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TEC provided a guarantee to the lenders under the Cumulus Digital TLF for certain shortfalls in principal and interest payments by Cumulus Digital (up to a maximum of 23% of the principal amount of outstanding loans under the Cumulus Digital TLF). The guarantee was terminated upon the payment in full of the Cumulus Digital TLF on March 1, 2024.</w:t>
      </w:r>
    </w:p>
    <w:p>
      <w:pPr>
        <w:spacing w:after="0" w:line="1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Additionally, TES provided $50 million in LCs to Orion to support certain of Cumulus Digital’s obligations under the Cumulus Digital TLF. The LCs could be drawn upon, among other events: (i) the acceleration of the Cumulus Digital TLF due to an event of default; or (ii) a bankruptcy of Cumulus Digital. Cumulus Digital Holdings agreed to issue additional common equity to TES to reimburse it for any amounts drawn on the LCs. Cumulus Digital also agreed to reimburse TES for fees associated with the LCs, in the form of cash or common equity in Cumulus Digital Holdings. These LCs were cancelled upon the prepayment in full of the Cumulus Digital TLF on March 1, 2024.</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information on the guarantee issued by TEC and the LCs issued by TES related to the Cumulus Digital TLF.</w:t>
      </w:r>
    </w:p>
    <w:p>
      <w:pPr>
        <w:spacing w:after="0" w:line="16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LMBE-MC Credit Agreement. </w:t>
      </w:r>
      <w:r>
        <w:rPr>
          <w:rFonts w:ascii="Times New Roman" w:cs="Times New Roman" w:eastAsia="Times New Roman" w:hAnsi="Times New Roman"/>
          <w:sz w:val="18"/>
          <w:szCs w:val="18"/>
          <w:color w:val="auto"/>
        </w:rPr>
        <w:t>LMBE-MC was the borrower under the LMBE-MC Credit Agreement, which included the LMBE-MC RCF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LMBE-MC TLB. LMBE-MC and its subsidiaries were not included in the Restructuring and therefore the Restructuring was not an event of default under the LMBE-MC Credit Agreement or the facilities thereunder. The LMBE-MC facilities were repaid, and the LMBE-MC Credit Agreement terminated, in August 2023. See “2023 Transactions - LMBE-MC Refinancing” for additional information.</w:t>
      </w:r>
    </w:p>
    <w:p>
      <w:pPr>
        <w:spacing w:after="0" w:line="124" w:lineRule="exact"/>
        <w:rPr>
          <w:sz w:val="20"/>
          <w:szCs w:val="20"/>
          <w:color w:val="auto"/>
        </w:rPr>
      </w:pPr>
    </w:p>
    <w:p>
      <w:pPr>
        <w:ind w:left="460" w:hanging="452"/>
        <w:spacing w:after="0"/>
        <w:tabs>
          <w:tab w:leader="none" w:pos="4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20"/>
          </w:cols>
          <w:pgMar w:left="320" w:top="121" w:right="35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2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Netting </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 Government debt</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Receivables (payables), net </w:t>
            </w:r>
            <w:r>
              <w:rPr>
                <w:rFonts w:ascii="Times New Roman" w:cs="Times New Roman" w:eastAsia="Times New Roman" w:hAnsi="Times New Roman"/>
                <w:sz w:val="21"/>
                <w:szCs w:val="21"/>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Nuclear decommissioning</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1,400</w:t>
            </w:r>
          </w:p>
        </w:tc>
        <w:tc>
          <w:tcPr>
            <w:tcW w:w="0" w:type="dxa"/>
            <w:vAlign w:val="bottom"/>
          </w:tcPr>
          <w:p>
            <w:pPr>
              <w:spacing w:after="0"/>
              <w:rPr>
                <w:sz w:val="1"/>
                <w:szCs w:val="1"/>
                <w:color w:val="auto"/>
              </w:rPr>
            </w:pPr>
          </w:p>
        </w:tc>
      </w:tr>
      <w:tr>
        <w:trPr>
          <w:trHeight w:val="214"/>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trust funds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3,793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Commodity derivatives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certain amounts were presented as “Liabilities subject to compromise” on the Consolidated Balance Sheets. See Note 4 for additional information.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See Note 4 for information on the nonrecurring fair value measurements resulting in the application of fresh start accounting and Note 10 for information on the nonrecurring fair value measurement of Brandon Shores during the year ended December 31, 2023 (Successor). There were no nonrecurring fair value measurements related to impairments of long-lived assets during the nine months ended September 30, 2022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jc w:val="both"/>
        <w:ind w:right="220" w:firstLine="324"/>
        <w:spacing w:after="0" w:line="289" w:lineRule="auto"/>
        <w:rPr>
          <w:sz w:val="20"/>
          <w:szCs w:val="20"/>
          <w:color w:val="auto"/>
        </w:rPr>
      </w:pPr>
      <w:r>
        <w:rPr>
          <w:rFonts w:ascii="Times New Roman" w:cs="Times New Roman" w:eastAsia="Times New Roman" w:hAnsi="Times New Roman"/>
          <w:sz w:val="17"/>
          <w:szCs w:val="17"/>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20"/>
          </w:cols>
          <w:pgMar w:left="320" w:top="121" w:right="35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80" w:type="dxa"/>
            <w:vAlign w:val="bottom"/>
          </w:tcPr>
          <w:p>
            <w:pPr>
              <w:jc w:val="center"/>
              <w:ind w:right="4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10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ind w:left="460" w:hanging="452"/>
        <w:spacing w:after="0"/>
        <w:tabs>
          <w:tab w:leader="none" w:pos="4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Postretirement Benefit Obligations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Defined Benefit Plans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2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Funded Status. </w:t>
      </w:r>
      <w:r>
        <w:rPr>
          <w:rFonts w:ascii="Times New Roman" w:cs="Times New Roman" w:eastAsia="Times New Roman" w:hAnsi="Times New Roman"/>
          <w:sz w:val="18"/>
          <w:szCs w:val="18"/>
          <w:color w:val="auto"/>
        </w:rPr>
        <w:t>The net fair value of underfunded defined benefit pension and other postretirement plans are presented as “Postretirement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the Consolidated Balance Sheets. Certain other postretirement plans were overfunded by $33 million, $28 million as of December 31, 2023 (Successor) and 2022 (Predecessor) and are presented as “Other noncurrent assets” on the Consolidated Balance Sheets. The current portion of certain unfunded postretirement obligations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40"/>
          </w:cols>
          <w:pgMar w:left="320" w:top="121"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funded status and the weighted average assumptions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994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obligation/Accumulated benefit obligation</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21"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22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auto"/>
            </w:tcBorders>
            <w:gridSpan w:val="2"/>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2022 (Predecessor), the decrease in postretirement benefit obligations was primarily attributable to increasing interest rates, offset by actual returns being less than expected returns on plan assets.</w:t>
      </w:r>
    </w:p>
    <w:p>
      <w:pPr>
        <w:spacing w:after="0" w:line="106"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Net Periodic Benefit Cost and Amounts Recognized in OCI. </w:t>
      </w:r>
      <w:r>
        <w:rPr>
          <w:rFonts w:ascii="Times New Roman" w:cs="Times New Roman" w:eastAsia="Times New Roman" w:hAnsi="Times New Roman"/>
          <w:sz w:val="17"/>
          <w:szCs w:val="17"/>
          <w:color w:val="auto"/>
        </w:rPr>
        <w:t>Service cost is presented as “Postretirement benefits service (credit) costs, net”, while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components of net periodic defined benefit cost (credit) for pension and other postretirement plans are presented as “Operation, maintenance and development” on the Consolidated Statements of Operations. The portion of net periodic benefit cost capitalized during the periods from May 18 through December 31, 2023 (Successor), January 1 through May 17, 2023 (Predecessor) and the year ended December 31, 2022 (Predecessor)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40"/>
          </w:cols>
          <w:pgMar w:left="320" w:top="121"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(credit), the amounts recognized in OCI and the associated weighted average assumptions for pension and other postretirement plans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7"/>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46"/>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6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2.94 %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Health care grading trend rates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to 4.50%</w:t>
            </w:r>
          </w:p>
        </w:tc>
        <w:tc>
          <w:tcPr>
            <w:tcW w:w="80" w:type="dxa"/>
            <w:vAlign w:val="bottom"/>
            <w:gridSpan w:val="2"/>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 to 4.50%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 to 4.93%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rates grading to 2027.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40"/>
          </w:cols>
          <w:pgMar w:left="320" w:top="121" w:right="339" w:bottom="1440" w:gutter="0" w:footer="0" w:header="0"/>
          <w:type w:val="continuous"/>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2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Contributions and Payments. </w:t>
      </w:r>
      <w:r>
        <w:rPr>
          <w:rFonts w:ascii="Times New Roman" w:cs="Times New Roman" w:eastAsia="Times New Roman" w:hAnsi="Times New Roman"/>
          <w:sz w:val="18"/>
          <w:szCs w:val="18"/>
          <w:color w:val="auto"/>
        </w:rPr>
        <w:t>Talen Energy Supply contributed $5 million to the TES sponsored pension plan during the period from May 18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(Successor). There were no contributions for the pension plans during the period from January 1 through May 17, 2023 (Predecessor), and the year ended December 31, 2022 (Predecessor). Talen Montana contributed $4 million, $2 million and $10 million of discretionary contributions to the Talen Montana sponsored pension plan during the period from May 18 through December 31, 2023 (Successor), January 1 through May 17, 2023 (Predecessor) and the year ended December 31, 2022 (Predecessor) to the Talen Montana pension plan.</w:t>
      </w:r>
    </w:p>
    <w:p>
      <w:pPr>
        <w:spacing w:after="0" w:line="13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TES expects to contribute $30 million to the TES sponsored pension plan in 2024. Talen Montana expects to contribute $10 million of discretionary contributions to the Talen Montana sponsored pension plan in 2024, of which $7 million is expected to be collected by Talen Montana from the other joint owners of Colstrip.</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aggregate benefits paid to pension and other postretirement plan participants was $60 million during the period from May 18 through December 31, 2003 (Successor), $38 million from January 1 through May 17, 2023 (Predecessor), $104 million in 2022 (Predecessor), and $117 million in 2021 (Predecessor).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forecasted undiscounted benefit payments to plan participants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1"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plan assets. </w:t>
      </w:r>
      <w:r>
        <w:rPr>
          <w:rFonts w:ascii="Times New Roman" w:cs="Times New Roman" w:eastAsia="Times New Roman" w:hAnsi="Times New Roman"/>
          <w:sz w:val="18"/>
          <w:szCs w:val="18"/>
          <w:color w:val="auto"/>
        </w:rPr>
        <w:t>Pension plan assets are held in external trusts, including a master trust, which includes a 401(h) account that is restricted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postretirement benefit obligations of Talen Energy Supply. The plans' investment policies outline investment objectives.</w:t>
      </w:r>
    </w:p>
    <w:p>
      <w:pPr>
        <w:spacing w:after="0" w:line="10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target asset allocations for the pension plan assets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5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r>
      <w:tr>
        <w:trPr>
          <w:trHeight w:val="23"/>
        </w:trPr>
        <w:tc>
          <w:tcPr>
            <w:tcW w:w="95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Growth portfolio</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Immunizing portfolio</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Liquidity portfolio</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40"/>
          </w:cols>
          <w:pgMar w:left="320" w:top="121"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pension plan asset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190"/>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excluded from pension plan assets.</w:t>
      </w:r>
    </w:p>
    <w:p>
      <w:pPr>
        <w:spacing w:after="0" w:line="1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and exchange-traded futures contracts, which are valued using unadjusted prices available from the underlying market.</w:t>
      </w:r>
    </w:p>
    <w:p>
      <w:pPr>
        <w:spacing w:after="0" w:line="10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w:t>
      </w:r>
    </w:p>
    <w:p>
      <w:pPr>
        <w:spacing w:after="0" w:line="13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postretirement benefit plan assets. </w:t>
      </w:r>
      <w:r>
        <w:rPr>
          <w:rFonts w:ascii="Times New Roman" w:cs="Times New Roman" w:eastAsia="Times New Roman" w:hAnsi="Times New Roman"/>
          <w:sz w:val="18"/>
          <w:szCs w:val="18"/>
          <w:color w:val="auto"/>
        </w:rPr>
        <w:t>The investment strategy with respect to most of the other postretirement benefit obligations is to fund VEBA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similar trusts and (or) 401(h) accounts with voluntary contributions, when appropriate, and to invest in a tax efficient manner. Excluding the 401(h) accounts included in the master trust,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21"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target asset allocations for other postretirement benefit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466"/>
        </w:trPr>
        <w:tc>
          <w:tcPr>
            <w:tcW w:w="9220" w:type="dxa"/>
            <w:vAlign w:val="bottom"/>
            <w:gridSpan w:val="24"/>
          </w:tcPr>
          <w:p>
            <w:pPr>
              <w:ind w:left="340"/>
              <w:spacing w:after="0"/>
              <w:rPr>
                <w:sz w:val="20"/>
                <w:szCs w:val="20"/>
                <w:color w:val="auto"/>
              </w:rPr>
            </w:pPr>
            <w:r>
              <w:rPr>
                <w:rFonts w:ascii="Times New Roman" w:cs="Times New Roman" w:eastAsia="Times New Roman" w:hAnsi="Times New Roman"/>
                <w:sz w:val="18"/>
                <w:szCs w:val="18"/>
                <w:color w:val="auto"/>
              </w:rPr>
              <w:t>The classification of other postretirement benefit plan asset fair value measurements within the fair value hierarchy were: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7"/>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320" w:hanging="312"/>
        <w:spacing w:after="0"/>
        <w:tabs>
          <w:tab w:leader="none" w:pos="3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reported as postretirement assets.</w:t>
      </w:r>
    </w:p>
    <w:p>
      <w:pPr>
        <w:spacing w:after="0" w:line="16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which are valued using unadjusted prices available from the underlying market.</w:t>
      </w:r>
    </w:p>
    <w:p>
      <w:pPr>
        <w:spacing w:after="0" w:line="10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Level 2 investments consist of corporate debt securities, which are valued using observable inputs such as benchmark yields, relevant trade data, broker/dealer bid/ask prices, benchmark securities, and credit valuation adjustments.</w:t>
      </w:r>
    </w:p>
    <w:p>
      <w:pPr>
        <w:spacing w:after="0" w:line="108"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Substantially all Company employees are eligible to participate in 401(k) deferred savings plans. Employer contributions to the plans were $9 million, $10 million, and $18 million during the period from May 18 through December 31, 2023 (Successor), January 1 through May 17, 2023 (Predecessor) and the year ended December 31, 2022 (Predecessor).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Coal Industry Retiree Benefit Plans</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Talen is obligated under the Coal Act and the Black Lung Act to pay for certain health care and black lung benefits of retired miners and allowable beneficiaries. These obligations are funded from medical VEBAs and a black lung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40"/>
          </w:cols>
          <w:pgMar w:left="320" w:top="121"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funded status of each plan at December 31, 2023 (Successor)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Trust Asset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 Fair Value</w:t>
            </w:r>
          </w:p>
        </w:tc>
        <w:tc>
          <w:tcPr>
            <w:tcW w:w="14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Overfunded Status</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 for UMWA Represented Retirees of Pennsylvania Mines, LLC</w:t>
            </w: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 Worker's Pneumoconiosis (Black Lung) Benefit Plan</w:t>
            </w:r>
          </w:p>
        </w:tc>
        <w:tc>
          <w:tcPr>
            <w:tcW w:w="1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“Postretirement Benefit Obligations” in Note 2 for additional information.</w:t>
      </w:r>
    </w:p>
    <w:p>
      <w:pPr>
        <w:spacing w:after="0" w:line="118" w:lineRule="exact"/>
        <w:rPr>
          <w:sz w:val="20"/>
          <w:szCs w:val="20"/>
          <w:color w:val="auto"/>
        </w:rPr>
      </w:pPr>
    </w:p>
    <w:p>
      <w:pPr>
        <w:ind w:left="460" w:hanging="452"/>
        <w:spacing w:after="0"/>
        <w:tabs>
          <w:tab w:leader="none" w:pos="4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which became effective at Emergence, authorizes TEC to issue up to 400,000,000 shares of capital stock, consisting of 350,000,000 shares of common stock, par value $0.001 per share, and 50,000,000 shares of preferred stock, par value $0.01 per share. At Emergence, TEC issued 59,028,843 shares of common stock. The same number of shares remained outstanding as of December 31, 2023 (Successor). No shares of preferred stock are outstanding.</w:t>
      </w:r>
    </w:p>
    <w:p>
      <w:pPr>
        <w:spacing w:after="0" w:line="12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record holder to one vote on all matters on which stockholders generally are entitled to vote. Subject to the rights of the holders of preferred stock, if any, the holders of shares of common stock are entitled to receive dividends and other distributions (payable in cash, property or capital stock of TEC) when, as and if declared thereon by the Board of Directors.</w:t>
      </w:r>
    </w:p>
    <w:p>
      <w:pPr>
        <w:spacing w:after="0" w:line="1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and Stockholders Agreement. </w:t>
      </w:r>
      <w:r>
        <w:rPr>
          <w:rFonts w:ascii="Times New Roman" w:cs="Times New Roman" w:eastAsia="Times New Roman" w:hAnsi="Times New Roman"/>
          <w:sz w:val="18"/>
          <w:szCs w:val="18"/>
          <w:color w:val="auto"/>
        </w:rPr>
        <w:t>In connection with Emergence, TEC entered into a Registration Rights Agreement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Agreement with certain of its stockholders . Under the Registration Rights Agreement, the Reg Rights Holders were granted customary registration rights that may be exercised after the consummation of an initial public offering by the Company,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that, so long as the aggregate TEC ownership represented on the offering committee is at least 20%, will have rights to require TEC to pursue and consummate an initial public offering and to consent to certain key elements of the initial public offering structure.</w:t>
      </w:r>
    </w:p>
    <w:p>
      <w:pPr>
        <w:spacing w:after="0" w:line="129"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Equity-Classified Warrants. </w:t>
      </w:r>
      <w:r>
        <w:rPr>
          <w:rFonts w:ascii="Times New Roman" w:cs="Times New Roman" w:eastAsia="Times New Roman" w:hAnsi="Times New Roman"/>
          <w:sz w:val="18"/>
          <w:szCs w:val="18"/>
          <w:color w:val="auto"/>
        </w:rPr>
        <w:t>Pursuant to an employment agreement with a former executive, at Emergence, the Company issued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the executive to purchase up to 457,142 shares common stock with a tenor of seven years and a strike price of $43.75, subject to adjustment in certain circumstances. The equity-classified warrants were valued at $8 million using the above strike price, 30.0% volatility, and a risk-free rate of 3.6%.</w:t>
      </w:r>
    </w:p>
    <w:p>
      <w:pPr>
        <w:spacing w:after="0" w:line="11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Liability-Classified Warrants. </w:t>
      </w:r>
      <w:r>
        <w:rPr>
          <w:rFonts w:ascii="Times New Roman" w:cs="Times New Roman" w:eastAsia="Times New Roman" w:hAnsi="Times New Roman"/>
          <w:sz w:val="18"/>
          <w:szCs w:val="18"/>
          <w:color w:val="auto"/>
        </w:rPr>
        <w:t>At Emergence, Riverstone received liability-classified warrants to purchase up to 5%, or 3,106,781 shares of TEC’s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 (i) a tenor of five years; (ii) a strike price of $52.92, subject to adjustment in certain circumstances; (iii) Black-Scholes protection in the event of certain change of control transactions; and (iv) a contingent put option providing Riverstone the right to require that the Company redeem the warrants in cash upon certain change of control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21"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the third quarter 2023, TEC, TES, and Riverstone completed a transaction pursuant to which: (i) Riverstone surrendered all of its warrants to purchase TEC common stock to TEC and waived all future rights to the Retail PPA Incentive Equity; and (ii) TEC, TES and Riverstone terminated and canceled a tax indemnity agreement executed by them in connection with the TEC Global Settlement. TEC paid Riverstone $40 million in exchange for these cancellations and waivers and recognized a gain of $9 million presented as “Other non-operating income (expense), net” on the Consolidated Statements of Operations for the period from May 18 through December 31, 2023 (Successor).</w:t>
      </w:r>
    </w:p>
    <w:p>
      <w:pPr>
        <w:spacing w:after="0" w:line="1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Riverstone Cumulus Digital Buyout. </w:t>
      </w:r>
      <w:r>
        <w:rPr>
          <w:rFonts w:ascii="Times New Roman" w:cs="Times New Roman" w:eastAsia="Times New Roman" w:hAnsi="Times New Roman"/>
          <w:sz w:val="18"/>
          <w:szCs w:val="18"/>
          <w:color w:val="auto"/>
        </w:rPr>
        <w:t>In the third quarter 2023, Riverstone and TES completed a transaction in which TES purchased all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of Cumulus Digital Holdings held by Riverstone for an aggregate purchase price of $20 million (the “Riverstone Buyout”), of which TES paid $19 million. Affiliates of Orion also elected to participate in the Riverstone Buyout and acquired an additional 1% interest under the terms of the Cumulus Digital Holdings limited liability company agreement. Upon closing, TES’s ownership interest in Cumulus Digital Holdings increased to approximately 95%. TES has sole control of Cumulus Digital Holdings’ board of managers following the closing of the Riverstone Buyout.</w:t>
      </w:r>
    </w:p>
    <w:p>
      <w:pPr>
        <w:spacing w:after="0" w:line="12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PPA Incentive Equity. </w:t>
      </w:r>
      <w:r>
        <w:rPr>
          <w:rFonts w:ascii="Times New Roman" w:cs="Times New Roman" w:eastAsia="Times New Roman" w:hAnsi="Times New Roman"/>
          <w:sz w:val="18"/>
          <w:szCs w:val="18"/>
          <w:color w:val="auto"/>
        </w:rPr>
        <w:t>Pursuant to the Plan of Reorganization and the TEC Global Settlement, at Emergence, the Company issued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243,000 shares of TEC common stock to Riverstone in partial satisfaction of Riverstone’s right to the Retail PPA Incentive Equity. The Retail PPA Incentive Equity also included a right of Riverstone to receive additional TEC common stock (or, at TEC’s option, a cash payment) in the event Cumulus Data exercised an option with Talen Generation to purchase additional electricity generated by Susquehanna, as further described in the Plan of Reorganization. In August 2023, Riverstone agreed to waive its right to this additional portion of the Retail PPA Incentive Equity in exchange for a cash payment.</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In October 2023, the Board of Directors approved a share repurchase program authorizing the Company to repurchase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$300 million of the Company’s outstanding common stock through December 31,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In January 2024, the Company repurchased 225,000 shares of common stock for $14 million at a weighted average per share price of $63.52.</w:t>
      </w:r>
    </w:p>
    <w:p>
      <w:pPr>
        <w:spacing w:after="0" w:line="131"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Orion Cumulus Digital Buyout. </w:t>
      </w:r>
      <w:r>
        <w:rPr>
          <w:rFonts w:ascii="Times New Roman" w:cs="Times New Roman" w:eastAsia="Times New Roman" w:hAnsi="Times New Roman"/>
          <w:sz w:val="18"/>
          <w:szCs w:val="18"/>
          <w:color w:val="auto"/>
        </w:rPr>
        <w:t>On March 11, 2024, TES acquired all of the equity units of Cumulus Digital Holdings held by affiliates of Orion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$36 million in cash. Following the transaction, TES owns 99.5% of the equity of Cumulus Digital Holdings, with the remaining 0.5% held by two former members of Talen senior management.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(Predecessor), outstanding shares of TEC owned by Riverstone affiliates and Talen MidCo LLC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Talen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Raven Power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 Energy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Sapphire Power</w:t>
            </w:r>
          </w:p>
        </w:tc>
      </w:tr>
      <w:tr>
        <w:trPr>
          <w:trHeight w:val="195"/>
        </w:trPr>
        <w:tc>
          <w:tcPr>
            <w:tcW w:w="470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MidCo LLC</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Jade,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LLC</w:t>
            </w: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shares were cancelled upon Emergence pursuant to the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40"/>
          </w:cols>
          <w:pgMar w:left="320" w:top="121"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center"/>
        <w:ind w:right="100"/>
        <w:spacing w:after="0" w:line="312" w:lineRule="auto"/>
        <w:rPr>
          <w:sz w:val="20"/>
          <w:szCs w:val="20"/>
          <w:color w:val="auto"/>
        </w:rPr>
      </w:pPr>
      <w:r>
        <w:rPr>
          <w:rFonts w:ascii="Times New Roman" w:cs="Times New Roman" w:eastAsia="Times New Roman" w:hAnsi="Times New Roman"/>
          <w:sz w:val="17"/>
          <w:szCs w:val="17"/>
          <w:color w:val="auto"/>
        </w:rPr>
        <w:t>In June 2023, TEC began granting performance stock units (“PSUs”) and restricted stock units (“RSUs”) to certain employees and non-employee directors under the 2023 Talen Equity Plan. The aggregate number of shares authorized for issuance under the 2023 Talen Equity Plan is 7,083,461 shares.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12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968,793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were no forfeited or vested PSUs for the period from May 18 through December 31, 2023 (Successor). The fair value of the PSUs was determined using a Monte Carlo valuation methodology based on the fair value of the underlying stock price at the grant date and the significant inputs and assumptions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3"/>
        </w:trPr>
        <w:tc>
          <w:tcPr>
            <w:tcW w:w="91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23"/>
                <w:szCs w:val="23"/>
                <w:color w:val="auto"/>
                <w:vertAlign w:val="superscript"/>
              </w:rPr>
              <w:t>(a)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rate </w:t>
            </w:r>
            <w:r>
              <w:rPr>
                <w:rFonts w:ascii="Times New Roman" w:cs="Times New Roman" w:eastAsia="Times New Roman" w:hAnsi="Times New Roman"/>
                <w:sz w:val="23"/>
                <w:szCs w:val="23"/>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 - 4.59%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an option pricing method based on the average asset volatility of peer companies and the Company’s leverage ratio.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value derived from U.S. constant maturity treasury rates matching the terms of the PSUs.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have three-year graded vesting schedules beginning on the grant date. The fair value of the RSUs granted is derived from the closing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 common stock on the grant date. The following table summarizes the Company’s non-vested RSUs and changes during the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1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43"/>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forfeited or vested RSUs for the period from May 18 through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40"/>
          </w:cols>
          <w:pgMar w:left="320" w:top="121" w:right="3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$19 million for the period from May 18 through December 31, 2023 (Successor) presented as “General and administrative” on the Consolidated Statements of Operations. There was no income tax benefit recognized due to the PSUs and RSUs during the period from May 18 through December 31, 2023 (Successor) and deferred tax assets related to PSUs and RSUs were not material as of December 31, 2023 (Successor).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for additional information regarding our accounting policy for stock-based compensation.</w:t>
      </w:r>
    </w:p>
    <w:p>
      <w:pPr>
        <w:spacing w:after="0" w:line="167"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6"/>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5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December 31, 2023 (Successor), basic earnings per share of $2.27 includes 59,028,843 shares of common stock outstanding. For the periods from January 1 through May 17, 2023 and years ended 2022 and 2021 (Predecessor), there were no outstanding shares of common stock.</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Diluted earnings per share during the period from May 18 through December 31, 2023 (Successor) excludes 134,798 performance stock units (“PSUs”) outstanding due to their anti-dilutive nature. These awards are excluded from the calculation of EPS because the performance conditions have not been met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121"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w:t>
            </w: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total changes in AOCI for the periods were:</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vMerge w:val="restart"/>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60" w:type="dxa"/>
            <w:vAlign w:val="bottom"/>
          </w:tcPr>
          <w:p>
            <w:pPr>
              <w:jc w:val="center"/>
              <w:ind w:left="28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060" w:type="dxa"/>
            <w:vAlign w:val="bottom"/>
          </w:tcPr>
          <w:p>
            <w:pPr>
              <w:jc w:val="center"/>
              <w:ind w:left="28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62"/>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6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003A6D"/>
            </w:tcBorders>
          </w:tcPr>
          <w:p>
            <w:pPr>
              <w:spacing w:after="0"/>
              <w:rPr>
                <w:sz w:val="19"/>
                <w:szCs w:val="19"/>
                <w:color w:val="auto"/>
              </w:rPr>
            </w:pPr>
          </w:p>
        </w:tc>
        <w:tc>
          <w:tcPr>
            <w:tcW w:w="36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of equity at Emergence</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AOCI, net of tax, as of December 31 were: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vMerge w:val="restart"/>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Consolidated Statements of Operations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14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40" w:type="dxa"/>
            <w:vAlign w:val="bottom"/>
          </w:tcPr>
          <w:p>
            <w:pPr>
              <w:jc w:val="center"/>
              <w:ind w:left="20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14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1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14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 maintenance and development </w:t>
            </w:r>
            <w:r>
              <w:rPr>
                <w:rFonts w:ascii="Times New Roman" w:cs="Times New Roman" w:eastAsia="Times New Roman" w:hAnsi="Times New Roman"/>
                <w:sz w:val="23"/>
                <w:szCs w:val="23"/>
                <w:color w:val="auto"/>
                <w:vertAlign w:val="superscript"/>
              </w:rPr>
              <w:t>(c)</w:t>
            </w:r>
          </w:p>
        </w:tc>
        <w:tc>
          <w:tcPr>
            <w:tcW w:w="114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income (expense), net </w:t>
            </w:r>
            <w:r>
              <w:rPr>
                <w:rFonts w:ascii="Times New Roman" w:cs="Times New Roman" w:eastAsia="Times New Roman" w:hAnsi="Times New Roman"/>
                <w:sz w:val="23"/>
                <w:szCs w:val="23"/>
                <w:color w:val="auto"/>
                <w:vertAlign w:val="superscript"/>
              </w:rPr>
              <w:t>(d)</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actuarial gain (loss), net.</w:t>
      </w:r>
    </w:p>
    <w:p>
      <w:pPr>
        <w:spacing w:after="0" w:line="16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40"/>
          </w:cols>
          <w:pgMar w:left="320" w:top="121"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periods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contributed to equity method investment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preferred equity method investment contribution and accounts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payable accrual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1"/>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hypothetical liquidation at book value contribution to equity and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decrease to other current assets for transfer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of miners by Cumulus Coin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decrease to PP&amp;E and decrease to noncontrolling interest for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miners to TeraWulf</w:t>
            </w:r>
          </w:p>
        </w:tc>
        <w:tc>
          <w:tcPr>
            <w:tcW w:w="160" w:type="dxa"/>
            <w:vAlign w:val="bottom"/>
          </w:tcPr>
          <w:p>
            <w:pPr>
              <w:spacing w:after="0"/>
              <w:rPr>
                <w:sz w:val="21"/>
                <w:szCs w:val="21"/>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increase to noncontrolling interest for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transfer of miners by TeraWulf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240"/>
          </w:cols>
          <w:pgMar w:left="320" w:top="121"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r>
      <w:tr>
        <w:trPr>
          <w:trHeight w:val="137"/>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1"/>
                <w:szCs w:val="11"/>
                <w:color w:val="auto"/>
              </w:rPr>
            </w:pPr>
          </w:p>
        </w:tc>
        <w:tc>
          <w:tcPr>
            <w:tcW w:w="114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ARO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on warrants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$10 million for May 18 through December 31, $12 million for January 1 through May 17 in 2023, $12 million in 2022, and $4 million in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80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200" w:type="dxa"/>
            <w:vAlign w:val="bottom"/>
          </w:tcPr>
          <w:p>
            <w:pPr>
              <w:jc w:val="center"/>
              <w:ind w:left="2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r>
      <w:tr>
        <w:trPr>
          <w:trHeight w:val="95"/>
        </w:trPr>
        <w:tc>
          <w:tcPr>
            <w:tcW w:w="8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exchange margin</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Collateral deposits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debt service reserve deposits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TEC Global Settlement deposits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r>
      <w:tr>
        <w:trPr>
          <w:trHeight w:val="20"/>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deposits that supported the DIP LCF. Funds were returned to Talen upon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indebtedness was repaid in August 2023 and these funds were released. See Note 13 for additional information on the repayment.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were released to a third party upon Emergence.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F-114</w:t>
      </w:r>
    </w:p>
    <w:p>
      <w:pPr>
        <w:sectPr>
          <w:pgSz w:w="11900" w:h="16838" w:orient="portrait"/>
          <w:cols w:equalWidth="0" w:num="1">
            <w:col w:w="11240"/>
          </w:cols>
          <w:pgMar w:left="320" w:top="121" w:right="339" w:bottom="1440" w:gutter="0" w:footer="0" w:header="0"/>
          <w:type w:val="continuous"/>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and Stockholders Agreement</w:t>
      </w:r>
    </w:p>
    <w:p>
      <w:pPr>
        <w:spacing w:after="0" w:line="175"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See Note 16 for information on a Registration Rights Agreement and Stockholders Agreement entered into with certain TEC stockholders at Emergence.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Predecessor Transactions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Prior to the Restructuring, Talen incurred and paid customary management fees for services provided by Riverstone and its affiliates and reimbursed Riverstone for certain costs. In November 2021, Riverstone agreed to suspend Talen’s payment obligations for these management fees. In the third quarter 2022, as a result of the TEC Global Settlement, Talen adjusted the amounts previously accrued for these fees and Riverstone waived further payment of fees following Emergence. The aggregate fees incurred for services and reimbursements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Riverstone Holdings, LLC management fees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Riverstone Holdings, LLC litigation fees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“General and administrative” on the Consolidated Statements of Operations. Includes adjustments recognized in September 2022. See below for additional information.</w:t>
      </w:r>
    </w:p>
    <w:p>
      <w:pPr>
        <w:spacing w:after="0" w:line="16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(Predecessor), TES paid $8 million in fees and expenses of TEC’s professional advisors; and (ii) deposited $7 million in a custodial account presented as “Restricted cash” on the December 31, 2022 (Predecessor) Consolidated Balance Sheets that was to be used to pay fees and expenses of TEC’s advisors when due. The $7 million was paid to TEC’s advisors from the custodial account upon Emergence.</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(Predecessor), as a result of the TEC Global Settlement and UCC Settlement, Talen: (i) reversed $5 million of accrued amounts due to Riverstone for unpaid management fees and expenses presented as “General and administrative”; and (ii) recognized $8 million of charges presented as “Reorganization income (expense), net” on the Consolidated Statements of Operations for TEC advisor fees payable by TES pursuant to the TEC Global Settlement.</w:t>
      </w:r>
    </w:p>
    <w:p>
      <w:pPr>
        <w:spacing w:after="0" w:line="12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Additionally, prior to the Restructuring, TES had paid certain expenses and liabilities incurred by TEC. Accordingly, as of December 31, 2022 (Predecessor), TES carried a $2 million receivable due from TEC presented as “Accounts receivable, net” within the Consolidated Balance Sheets. Such amounts were settled pursuant to the Plan of Reorganization upon Emergence.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information on the TEC Global Settlement and the UCC Settlement.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2022 and 2021, Talen engaged parties related to two employees in management positions, both under two separate independent contractor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office maintenance and IT services. During the years ended December 31, 2022 and 2021 (Predecessor), Talen paid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thousand and $140 thousand, respectively, under these agreements. The contracts with these independent contractors were terminated in July 2022.</w:t>
      </w:r>
    </w:p>
    <w:p>
      <w:pPr>
        <w:spacing w:after="0" w:line="149" w:lineRule="exact"/>
        <w:rPr>
          <w:sz w:val="20"/>
          <w:szCs w:val="20"/>
          <w:color w:val="auto"/>
        </w:rPr>
      </w:pPr>
    </w:p>
    <w:p>
      <w:pPr>
        <w:ind w:left="440" w:hanging="432"/>
        <w:spacing w:after="0"/>
        <w:tabs>
          <w:tab w:leader="none" w:pos="4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w:t>
      </w:r>
    </w:p>
    <w:p>
      <w:pPr>
        <w:spacing w:after="0" w:line="17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will abandon its 25% share of Colstrip Units 3 and 4 to Talen Montana for no cash consideration. Under the agreement, Puget Sound will retain certain liabilities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240"/>
          </w:cols>
          <w:pgMar w:left="320" w:top="121" w:right="339"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pre-closing operations, including environmental remediation and decommissioning costs, and Talen Montana will assume those liabilities for post-closing operations. The agreement is subject to customary closing conditions, including Bankruptcy Court approval. Subject to satisfaction of the closing conditions set forth in the agreement, the parties have agreed on a closing date of December 31, 2025. Talen also has a right of first refusal on any other changes in ownership in Colstrip Units 3 and 4.</w:t>
      </w:r>
    </w:p>
    <w:p>
      <w:pPr>
        <w:spacing w:after="0" w:line="126"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Talen Montana did not obtain Bankruptcy Court approval of the agreement and continues to evaluate the circumstances under which it would acquire Puget Sound’s interest in Colstrip Units 3 and 4. In February 2024, Puget Sound informed Talen Montana that it was in breach of the agreement for failing to obtain Bankruptcy Court approval and that the agreement is unenforceable. Talen Montana has agreed that the agreement is unenforceable and disputed that it breached the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34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Data Center Campus Sale. </w:t>
      </w:r>
      <w:r>
        <w:rPr>
          <w:rFonts w:ascii="Times New Roman" w:cs="Times New Roman" w:eastAsia="Times New Roman" w:hAnsi="Times New Roman"/>
          <w:sz w:val="17"/>
          <w:szCs w:val="17"/>
          <w:color w:val="auto"/>
        </w:rPr>
        <w:t>On March 1, 2024, the Company completed its disposition of certain assets of Cumulus Data, which included our zero-carbon data center campus currently being developed adjacent to Susquehanna, to Amazon Data Services, Inc. for gross proceeds of $650 million,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$300 million of which is to be held in escrow until the achievement of development milestones that are expected to be achieved in 2024. In connection with the Data Center Campus Sale, the Company entered into a power purchase agreement with Amazon Energy LLC, pursuant to which (i) the Company agreed to supply up to 960MW of long-term, carbon-free power to the Data Center Campus from Susquehanna; (ii) the parties agreed to fixed-price power commitments that increase in 120 MW increments over several years; and (iii) Amazon Energy LLC has a one-time option to cap commitments at 480 MW.</w:t>
      </w:r>
    </w:p>
    <w:p>
      <w:pPr>
        <w:spacing w:after="0" w:line="131"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certain royalty payments from existing and future producing natural gas wells. In 2023, For the period January 1 through May 17, 2023 (Predecessor), a $29 million gain was presented as “Other non-operating income (expense), net” on the Consolidated Statements of Operations.</w:t>
      </w:r>
    </w:p>
    <w:p>
      <w:pPr>
        <w:spacing w:after="0" w:line="119"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the transportation of natural gas in the southwestern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approximately $15 million. For the period January 1 through May 17, 2023 (Predecessor), a $15 million gain was presented as “Other non-operating income (expense), net” on the Consolidated Statements of Operations.</w:t>
      </w:r>
    </w:p>
    <w:p>
      <w:pPr>
        <w:spacing w:after="0" w:line="117" w:lineRule="exact"/>
        <w:rPr>
          <w:sz w:val="20"/>
          <w:szCs w:val="20"/>
          <w:color w:val="auto"/>
        </w:rPr>
      </w:pPr>
    </w:p>
    <w:p>
      <w:pPr>
        <w:ind w:left="460" w:hanging="452"/>
        <w:spacing w:after="0"/>
        <w:tabs>
          <w:tab w:leader="none" w:pos="4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 ISO markets. The segments include:</w:t>
      </w:r>
    </w:p>
    <w:p>
      <w:pPr>
        <w:spacing w:after="0" w:line="104" w:lineRule="exact"/>
        <w:rPr>
          <w:sz w:val="20"/>
          <w:szCs w:val="20"/>
          <w:color w:val="auto"/>
        </w:rPr>
      </w:pPr>
    </w:p>
    <w:p>
      <w:pPr>
        <w:ind w:left="660" w:right="560" w:hanging="328"/>
        <w:spacing w:after="0" w:line="286"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 </w:t>
      </w:r>
      <w:r>
        <w:rPr>
          <w:rFonts w:ascii="Times New Roman" w:cs="Times New Roman" w:eastAsia="Times New Roman" w:hAnsi="Times New Roman"/>
          <w:sz w:val="18"/>
          <w:szCs w:val="18"/>
          <w:color w:val="auto"/>
        </w:rPr>
        <w:t>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 </w:t>
      </w:r>
      <w:r>
        <w:rPr>
          <w:rFonts w:ascii="Times New Roman" w:cs="Times New Roman" w:eastAsia="Times New Roman" w:hAnsi="Times New Roman"/>
          <w:sz w:val="18"/>
          <w:szCs w:val="18"/>
          <w:color w:val="auto"/>
        </w:rPr>
        <w:t>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20"/>
          </w:cols>
          <w:pgMar w:left="320" w:top="121" w:right="35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(ii) the development activities of Cumulus Growth Holdings; (iii) the development and operating activities of Cumulus Digital;</w:t>
      </w:r>
    </w:p>
    <w:p>
      <w:pPr>
        <w:spacing w:after="0" w:line="27" w:lineRule="exact"/>
        <w:rPr>
          <w:sz w:val="20"/>
          <w:szCs w:val="20"/>
          <w:color w:val="auto"/>
        </w:rPr>
      </w:pPr>
    </w:p>
    <w:p>
      <w:pPr>
        <w:ind w:right="580" w:firstLine="8"/>
        <w:spacing w:after="0" w:line="260" w:lineRule="auto"/>
        <w:tabs>
          <w:tab w:leader="none" w:pos="3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May 18, 2023 through December 31, 2023 (Successor)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1, 2023 through May 17, 2023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2022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2021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240"/>
          </w:cols>
          <w:pgMar w:left="320" w:top="121" w:right="33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January 1</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Impairments, canceled projects, inventory net realizable value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obsolescence, and receivables allowance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20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TEC evaluated subsequent events through March 14, 2024, the date the financial statements are available to be issued; all significant subsequent events are included in their respective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240"/>
          </w:cols>
          <w:pgMar w:left="320" w:top="121"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TALEN ENERGY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00276B"/>
            </w:tcBorders>
          </w:tcPr>
          <w:p>
            <w:pPr>
              <w:spacing w:after="0"/>
              <w:rPr>
                <w:sz w:val="2"/>
                <w:szCs w:val="2"/>
                <w:color w:val="auto"/>
              </w:rPr>
            </w:pPr>
          </w:p>
        </w:tc>
        <w:tc>
          <w:tcPr>
            <w:tcW w:w="1340" w:type="dxa"/>
            <w:vAlign w:val="bottom"/>
            <w:tcBorders>
              <w:bottom w:val="single" w:sz="8" w:color="00276B"/>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(in thousands):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240"/>
          </w:cols>
          <w:pgMar w:left="320" w:top="121" w:right="339"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762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4"/>
                <w:szCs w:val="24"/>
                <w:color w:val="auto"/>
              </w:rPr>
            </w:pPr>
          </w:p>
        </w:tc>
        <w:tc>
          <w:tcPr>
            <w:tcW w:w="76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BALANCE SHEET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2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7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CCEEFF"/>
            </w:tcBorders>
            <w:vMerge w:val="continue"/>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Common stock - $0.001 pay value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8" w:hanging="1288"/>
        <w:spacing w:after="0"/>
        <w:tabs>
          <w:tab w:leader="none" w:pos="12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31" w:lineRule="exact"/>
        <w:rPr>
          <w:sz w:val="20"/>
          <w:szCs w:val="20"/>
          <w:color w:val="auto"/>
        </w:rPr>
      </w:pPr>
    </w:p>
    <w:p>
      <w:pPr>
        <w:ind w:left="1068"/>
        <w:spacing w:after="0"/>
        <w:rPr>
          <w:sz w:val="20"/>
          <w:szCs w:val="20"/>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1068" w:hanging="1068"/>
        <w:spacing w:after="0"/>
        <w:tabs>
          <w:tab w:leader="none" w:pos="106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240"/>
          </w:cols>
          <w:pgMar w:left="320" w:top="121" w:right="339" w:bottom="1440" w:gutter="0" w:footer="0" w:header="0"/>
          <w:type w:val="continuous"/>
        </w:sectPr>
      </w:pPr>
    </w:p>
    <w:bookmarkStart w:id="286" w:name="page287"/>
    <w:bookmarkEnd w:id="286"/>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TALEN ENERGY CORPORATION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 - NOTES TO CONDENSED UNCONSOLIDATED FINANCIAL STATEMENTS</w:t>
      </w:r>
    </w:p>
    <w:p>
      <w:pPr>
        <w:spacing w:after="0" w:line="171"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 of TEC and notes thereto (the “Annual Financial Statements”).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2023, TEC and the majority of its subsidiaries emerged from bankruptcy (the “Restructuring”) and adopted fresh start accounting. Unconsolidated financial results are presented for TEC for the Successor period from May 18 through December 31, 2023. Because results presented in the Annual Financial Statements for Predecessor periods (prior to May 18, 2023) represent the operating results TES, such results are not repeated here. See Notes 2 and 3 in Notes to the Annual Financial Statements for additional information regarding the Restructuring and related accounting.</w:t>
      </w:r>
    </w:p>
    <w:p>
      <w:pPr>
        <w:spacing w:after="0" w:line="12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TEC held no cash nor had any cash activity during the period from May 18 through December 31, 2023; therefore, a statement of cash flows has not been included.</w:t>
      </w:r>
    </w:p>
    <w:p>
      <w:pPr>
        <w:spacing w:after="0" w:line="104"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 Indebtedness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general description of the material terms of TES’s indebtedness, see Note 13 in Notes to the Annual Financial Statements.</w:t>
      </w:r>
    </w:p>
    <w:p>
      <w:pPr>
        <w:spacing w:after="0" w:line="17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The Indenture and Credit Facilities restrict the ability of TES to pay dividends or make other distributions to TEC, subject to certain exceptions. Notable exceptions include the ability to pay dividends or make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2.25 to 1.0 (or, after the date the second quarter 2024 financials are due under the Credit Agreement, 2.75 to 1.0) and (ii) in the case of the Indenture, the ability to incur $1 of additional ratio debt), (b) $150 million, (c) equity contributions to TES, and (d) other customary “builder basket” components.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TEC does not have any separate indebtedness, other long-term obligations, or mandatory dividend or redemption requirements of redeemable stocks.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no cash dividends have been paid to TEC in the last three fiscal years by any other entity.</w:t>
      </w:r>
    </w:p>
    <w:p>
      <w:pPr>
        <w:spacing w:after="0" w:line="167"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in Notes to the Annual Financial Statements for commitments and contingencies of TEC.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200"/>
          </w:cols>
          <w:pgMar w:left="320" w:top="121" w:right="379" w:bottom="1440" w:gutter="0" w:footer="0" w:header="0"/>
        </w:sectPr>
      </w:pPr>
    </w:p>
    <w:bookmarkStart w:id="287" w:name="page288"/>
    <w:bookmarkEnd w:id="287"/>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3640" w:firstLine="3322"/>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GLOSSARY OF TERMS AND ABBREVIATIONS </w:t>
      </w:r>
      <w:r>
        <w:rPr>
          <w:rFonts w:ascii="Times New Roman" w:cs="Times New Roman" w:eastAsia="Times New Roman" w:hAnsi="Times New Roman"/>
          <w:sz w:val="17"/>
          <w:szCs w:val="17"/>
          <w:color w:val="auto"/>
        </w:rPr>
        <w:t>When used in this prospectus, the following capitalized terms have the meanings set forth below:</w:t>
      </w: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Equity Plan</w:t>
      </w:r>
      <w:r>
        <w:rPr>
          <w:rFonts w:ascii="Times New Roman" w:cs="Times New Roman" w:eastAsia="Times New Roman" w:hAnsi="Times New Roman"/>
          <w:sz w:val="18"/>
          <w:szCs w:val="18"/>
          <w:color w:val="auto"/>
        </w:rPr>
        <w:t>” means the 2023 Equity Incentive Plan of Talen Energy Corporation, effective as of May 17, 2023.</w:t>
      </w:r>
    </w:p>
    <w:p>
      <w:pPr>
        <w:spacing w:after="0" w:line="171"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 and (xv) other adjustments. Pursuant to TES’s debt agreements, Cumulus Digital contributes to Adjusted EBITDA beginning in the first quarter 2024, following termination of the Cumulus Digital credit facility and associated cash flow sweep.</w:t>
      </w:r>
    </w:p>
    <w:p>
      <w:pPr>
        <w:spacing w:after="0" w:line="12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Equity Value</w:t>
      </w:r>
      <w:r>
        <w:rPr>
          <w:rFonts w:ascii="Times New Roman" w:cs="Times New Roman" w:eastAsia="Times New Roman" w:hAnsi="Times New Roman"/>
          <w:sz w:val="18"/>
          <w:szCs w:val="18"/>
          <w:color w:val="auto"/>
        </w:rPr>
        <w:t xml:space="preserve">” means amount per share of TEC common stock equal to the sum of: (i) (a) if the measurement date is a “change in control event,” the implied per share value achieved in connection with such change in control event or, (b) if the measurement date is not a “change in control event,” the per share value (x) if the Company is listed on a national securities exchange, based on the 120-day volume-weighted average price or, (y) if the Company is not listed on a national securities exchange, as determined by the Company in good faith,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per share value of any distributions or dividends paid with respect to shares between Emergence and the measurement date, or approved for distribution within the next quarter but not yet paid.</w:t>
      </w:r>
    </w:p>
    <w:p>
      <w:pPr>
        <w:spacing w:after="0" w:line="12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TEC as of December 31, 2023 (Successor) and TES as of December 31, 2022 (Predecessor);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means accumulated other comprehensive income or loss, which is a component of stockholder’s equity on the Consolidated Balance Sheets.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w:t>
      </w:r>
      <w:r>
        <w:rPr>
          <w:rFonts w:ascii="Times New Roman" w:cs="Times New Roman" w:eastAsia="Times New Roman" w:hAnsi="Times New Roman"/>
          <w:sz w:val="18"/>
          <w:szCs w:val="18"/>
          <w:color w:val="auto"/>
        </w:rPr>
        <w:t>” means asset retirement obligation.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means Amazon Web Services, Inc. and its affiliates.</w:t>
      </w:r>
    </w:p>
    <w:p>
      <w:pPr>
        <w:spacing w:after="0" w:line="17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means the Backstop Commitment Letter, dated as of May 31, 2022, by and among the Debtors and the Backstop Parties, as subsequently amended, supplemented or otherwise modified.</w:t>
      </w:r>
    </w:p>
    <w:p>
      <w:pPr>
        <w:spacing w:after="0" w:line="10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Parties</w:t>
      </w:r>
      <w:r>
        <w:rPr>
          <w:rFonts w:ascii="Times New Roman" w:cs="Times New Roman" w:eastAsia="Times New Roman" w:hAnsi="Times New Roman"/>
          <w:sz w:val="18"/>
          <w:szCs w:val="18"/>
          <w:color w:val="auto"/>
        </w:rPr>
        <w:t>” means those certain holders of claims under the Prepetition Unsecured Notes and PEDFA 2009A Bonds party to the Backstop Commitment Letter.</w:t>
      </w:r>
    </w:p>
    <w:p>
      <w:pPr>
        <w:spacing w:after="0" w:line="10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Premium</w:t>
      </w:r>
      <w:r>
        <w:rPr>
          <w:rFonts w:ascii="Times New Roman" w:cs="Times New Roman" w:eastAsia="Times New Roman" w:hAnsi="Times New Roman"/>
          <w:sz w:val="18"/>
          <w:szCs w:val="18"/>
          <w:color w:val="auto"/>
        </w:rPr>
        <w:t>” means a premium, comprised of (i) a periodic premium, paid monthly by the Debtors to each Backstop Party at a rate equal to 10% per annum of each Backstop Party’s portion of the aggregate backstop commitment under the Backstop Commitment Letter and (ii) an additional premium, payable by the Debtors in cash or equity upon consummation of the Plan of Reorganization, equal to 20% of each Backstop Party’s portion of the aggregate backstop commitment under the Backstop Commitment Letter, reduced by the amount of monthly Backstop Premium previously paid.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Southern District of Texas, Houston Division.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Barney Davis</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ectPr>
          <w:pgSz w:w="11900" w:h="16838" w:orient="portrait"/>
          <w:cols w:equalWidth="0" w:num="1">
            <w:col w:w="11240"/>
          </w:cols>
          <w:pgMar w:left="320" w:top="121" w:right="339" w:bottom="1440" w:gutter="0" w:footer="0" w:header="0"/>
        </w:sectPr>
      </w:pPr>
    </w:p>
    <w:bookmarkStart w:id="288" w:name="page289"/>
    <w:bookmarkEnd w:id="288"/>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 Agreement</w:t>
      </w:r>
      <w:r>
        <w:rPr>
          <w:rFonts w:ascii="Times New Roman" w:cs="Times New Roman" w:eastAsia="Times New Roman" w:hAnsi="Times New Roman"/>
          <w:sz w:val="18"/>
          <w:szCs w:val="18"/>
          <w:color w:val="auto"/>
        </w:rPr>
        <w:t>” means 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spacing w:after="0" w:line="117"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LCF</w:t>
      </w:r>
      <w:r>
        <w:rPr>
          <w:rFonts w:ascii="Times New Roman" w:cs="Times New Roman" w:eastAsia="Times New Roman" w:hAnsi="Times New Roman"/>
          <w:sz w:val="18"/>
          <w:szCs w:val="18"/>
          <w:color w:val="auto"/>
        </w:rPr>
        <w:t>” means 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Talen Energy Corporation.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Brandon Shores</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Brunner Island</w:t>
      </w:r>
      <w:r>
        <w:rPr>
          <w:rFonts w:ascii="Times New Roman" w:cs="Times New Roman" w:eastAsia="Times New Roman" w:hAnsi="Times New Roman"/>
          <w:sz w:val="18"/>
          <w:szCs w:val="18"/>
          <w:color w:val="auto"/>
        </w:rPr>
        <w:t>” means a Talen-owned and operated generation facility in York Haven, Pennsylvania.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Camden</w:t>
      </w:r>
      <w:r>
        <w:rPr>
          <w:rFonts w:ascii="Times New Roman" w:cs="Times New Roman" w:eastAsia="Times New Roman" w:hAnsi="Times New Roman"/>
          <w:sz w:val="18"/>
          <w:szCs w:val="18"/>
          <w:color w:val="auto"/>
        </w:rPr>
        <w:t>” means a Talen-owned and operated generation facility in Camden, New Jersey.</w:t>
      </w:r>
    </w:p>
    <w:p>
      <w:pPr>
        <w:spacing w:after="0" w:line="17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means the ratio of actual electrical energy output of one or more generating units over a given period of time to the theoretical maximum electrical energy output of the same unit or units over that period.</w:t>
      </w:r>
    </w:p>
    <w:p>
      <w:pPr>
        <w:spacing w:after="0" w:line="10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Performance</w:t>
      </w:r>
      <w:r>
        <w:rPr>
          <w:rFonts w:ascii="Times New Roman" w:cs="Times New Roman" w:eastAsia="Times New Roman" w:hAnsi="Times New Roman"/>
          <w:sz w:val="18"/>
          <w:szCs w:val="18"/>
          <w:color w:val="auto"/>
        </w:rPr>
        <w:t>” 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22"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CCR</w:t>
      </w:r>
      <w:r>
        <w:rPr>
          <w:rFonts w:ascii="Times New Roman" w:cs="Times New Roman" w:eastAsia="Times New Roman" w:hAnsi="Times New Roman"/>
          <w:sz w:val="18"/>
          <w:szCs w:val="18"/>
          <w:color w:val="auto"/>
        </w:rPr>
        <w:t>” means Coal Combustion Residuals, including but not limited to fly ash, bottom ash and gypsum, that are produced from coal-fired electric generation facilities.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CIFP</w:t>
      </w:r>
      <w:r>
        <w:rPr>
          <w:rFonts w:ascii="Times New Roman" w:cs="Times New Roman" w:eastAsia="Times New Roman" w:hAnsi="Times New Roman"/>
          <w:sz w:val="18"/>
          <w:szCs w:val="18"/>
          <w:color w:val="auto"/>
        </w:rPr>
        <w:t>” means Critical Issue Fast Path.</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w:t>
      </w:r>
      <w:r>
        <w:rPr>
          <w:rFonts w:ascii="Times New Roman" w:cs="Times New Roman" w:eastAsia="Times New Roman" w:hAnsi="Times New Roman"/>
          <w:sz w:val="18"/>
          <w:szCs w:val="18"/>
          <w:color w:val="auto"/>
        </w:rPr>
        <w:t>” means 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the Colstrip Units.</w:t>
      </w:r>
    </w:p>
    <w:p>
      <w:pPr>
        <w:spacing w:after="0" w:line="12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 AOC</w:t>
      </w:r>
      <w:r>
        <w:rPr>
          <w:rFonts w:ascii="Times New Roman" w:cs="Times New Roman" w:eastAsia="Times New Roman" w:hAnsi="Times New Roman"/>
          <w:sz w:val="18"/>
          <w:szCs w:val="18"/>
          <w:color w:val="auto"/>
        </w:rPr>
        <w:t>” means the “Administrative Order on Consent” entered into in 2012 (with minor amendments in 2017) between Talen Montana (on behalf of the co-owners of the Colstrip Units and in its capacity as the operator of Colstrip) and the MDEQ.</w:t>
      </w:r>
    </w:p>
    <w:p>
      <w:pPr>
        <w:spacing w:after="0" w:line="101"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w:t>
      </w:r>
      <w:r>
        <w:rPr>
          <w:rFonts w:ascii="Times New Roman" w:cs="Times New Roman" w:eastAsia="Times New Roman" w:hAnsi="Times New Roman"/>
          <w:sz w:val="18"/>
          <w:szCs w:val="18"/>
          <w:color w:val="auto"/>
        </w:rPr>
        <w:t>” means a generation facility located in New Florence, Pennsylvania, in which Talen Generation, through a direct subsidiary, owns a 22.22% undivided interest. Conemaugh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 Fuels</w:t>
      </w:r>
      <w:r>
        <w:rPr>
          <w:rFonts w:ascii="Times New Roman" w:cs="Times New Roman" w:eastAsia="Times New Roman" w:hAnsi="Times New Roman"/>
          <w:sz w:val="18"/>
          <w:szCs w:val="18"/>
          <w:color w:val="auto"/>
        </w:rPr>
        <w:t>” means Conemaugh Fuels, LLC, an entity in which Talen Generation owns a 22.22% equity interest, which engages in the purchase of coal, the subsequent sale of coal to Conemaugh and other fuel-related activities.</w:t>
      </w:r>
    </w:p>
    <w:p>
      <w:pPr>
        <w:spacing w:after="0" w:line="101"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200"/>
          </w:cols>
          <w:pgMar w:left="320" w:top="121" w:right="379"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TLC LCF, as the same may be amended, amended and restated, supplemented or otherwise modified from time-to-time.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collectively, the RCF, the Term Loans, the TLC LCF and the Bilateral LCF.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Affiliates</w:t>
      </w:r>
      <w:r>
        <w:rPr>
          <w:rFonts w:ascii="Times New Roman" w:cs="Times New Roman" w:eastAsia="Times New Roman" w:hAnsi="Times New Roman"/>
          <w:sz w:val="18"/>
          <w:szCs w:val="18"/>
          <w:color w:val="auto"/>
        </w:rPr>
        <w:t>” means, collectively, Cumulus Growth Holdings, Cumulus Digital Holdings and their respective subsidiaries.</w:t>
      </w:r>
    </w:p>
    <w:p>
      <w:pPr>
        <w:spacing w:after="0" w:line="17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w:t>
      </w:r>
      <w:r>
        <w:rPr>
          <w:rFonts w:ascii="Times New Roman" w:cs="Times New Roman" w:eastAsia="Times New Roman" w:hAnsi="Times New Roman"/>
          <w:sz w:val="18"/>
          <w:szCs w:val="18"/>
          <w:color w:val="auto"/>
        </w:rPr>
        <w:t>” means Cumulus Coin LLC, a direct subsidiary of Cumulus Coin Holdings that owns a 75% equity interest in Nautilus as of March 31, 2024.</w:t>
      </w:r>
    </w:p>
    <w:p>
      <w:pPr>
        <w:spacing w:after="0" w:line="101"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 Holdings</w:t>
      </w:r>
      <w:r>
        <w:rPr>
          <w:rFonts w:ascii="Times New Roman" w:cs="Times New Roman" w:eastAsia="Times New Roman" w:hAnsi="Times New Roman"/>
          <w:sz w:val="18"/>
          <w:szCs w:val="18"/>
          <w:color w:val="auto"/>
        </w:rPr>
        <w:t>” means Cumulus Coin Holdings LLC, a direct subsidiary of Cumulus Digital that, through its direct subsidiary, Cumulus Coin, owns an equity interest in Nautilus.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122"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w:t>
      </w:r>
      <w:r>
        <w:rPr>
          <w:rFonts w:ascii="Times New Roman" w:cs="Times New Roman" w:eastAsia="Times New Roman" w:hAnsi="Times New Roman"/>
          <w:sz w:val="18"/>
          <w:szCs w:val="18"/>
          <w:color w:val="auto"/>
        </w:rPr>
        <w:t>” means Cumulus Data LLC, formerly Susquehanna Data LLC, a direct subsidiary of Cumulus Data Holdings that, prior to the Cumulus Data Campus Sale, was developing the Cumulus Data Campus.</w:t>
      </w:r>
    </w:p>
    <w:p>
      <w:pPr>
        <w:spacing w:after="0" w:line="101"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 Campus 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Data Center Campus Sale</w:t>
      </w:r>
      <w:r>
        <w:rPr>
          <w:rFonts w:ascii="Times New Roman" w:cs="Times New Roman" w:eastAsia="Times New Roman" w:hAnsi="Times New Roman"/>
          <w:sz w:val="18"/>
          <w:szCs w:val="18"/>
          <w:color w:val="auto"/>
        </w:rPr>
        <w:t>” means the Company’s sale, on March 1, 2024, of certain assets of Cumulus Data, which included all of the land, power infrastructure, powered shell and intangibles of Cumulus Data Campus, to AWS for gross proceeds of $650 million, $300 million of which is to be released from escrow upon achievement of certain development milestones.</w:t>
      </w:r>
    </w:p>
    <w:p>
      <w:pPr>
        <w:spacing w:after="0" w:line="117"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Data Holdings</w:t>
      </w:r>
      <w:r>
        <w:rPr>
          <w:rFonts w:ascii="Times New Roman" w:cs="Times New Roman" w:eastAsia="Times New Roman" w:hAnsi="Times New Roman"/>
          <w:sz w:val="17"/>
          <w:szCs w:val="17"/>
          <w:color w:val="auto"/>
        </w:rPr>
        <w:t>” means Cumulus Data Holdings LLC, a direct subsidiary of Cumulus Digital and the direct parent of Cumulus Data.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9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w:t>
      </w:r>
      <w:r>
        <w:rPr>
          <w:rFonts w:ascii="Times New Roman" w:cs="Times New Roman" w:eastAsia="Times New Roman" w:hAnsi="Times New Roman"/>
          <w:sz w:val="18"/>
          <w:szCs w:val="18"/>
          <w:color w:val="auto"/>
        </w:rPr>
        <w:t>” means Cumulus Digital LLC, a direct subsidiary of Cumulus Digital Holdings and the direct parent of Cumulus Data Holdings and Cumulus Coin Holdings.</w:t>
      </w:r>
    </w:p>
    <w:p>
      <w:pPr>
        <w:spacing w:after="0" w:line="10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Digital Equity Conversion</w:t>
      </w:r>
      <w:r>
        <w:rPr>
          <w:rFonts w:ascii="Times New Roman" w:cs="Times New Roman" w:eastAsia="Times New Roman" w:hAnsi="Times New Roman"/>
          <w:sz w:val="17"/>
          <w:szCs w:val="17"/>
          <w:color w:val="auto"/>
        </w:rPr>
        <w:t>” means the conversion of preferred equity in Cumulus Coin Holdings and Cumulus Data Holdings held by TES, Talen Growth and Riverstone V Coin Holdings L.P., and the conversion of class B units of Cumulus Digital Holdings held by Orion affiliates, in each case into common equity of Cumulus Digital Holdings, as contemplated by the Cumulus Term Sheet, dated as of August 29, 2022, by and among TES, TEC, Cumulus Digital Holdings, Orion, Riverstone and certain of their respective affiliates, which was an attachment to the fifth amendment to the RSA.</w:t>
      </w:r>
    </w:p>
    <w:p>
      <w:pPr>
        <w:spacing w:after="0" w:line="107"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Holdings</w:t>
      </w:r>
      <w:r>
        <w:rPr>
          <w:rFonts w:ascii="Times New Roman" w:cs="Times New Roman" w:eastAsia="Times New Roman" w:hAnsi="Times New Roman"/>
          <w:sz w:val="18"/>
          <w:szCs w:val="18"/>
          <w:color w:val="auto"/>
        </w:rPr>
        <w:t>” means Cumulus Digital Holdings LLC, a subsidiary of TES and the direct parent of Cumulus Digital. Prior to September 2022, Cumulus Digital Holdings was a subsidiary of Cumulus Growth. As a result of the Cumulus Digital Equity Conversion, TES obtained a controlling financial interest in Cumulus Digital Holdings. Accordingly, TES consolidates this entity and its subsidiaries in accordance with accounting rules. As of March 28, 2024, TES owns 100% of the common equity of Cumulus Digital Holdings.</w:t>
      </w:r>
    </w:p>
    <w:p>
      <w:pPr>
        <w:spacing w:after="0" w:line="12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TLF</w:t>
      </w:r>
      <w:r>
        <w:rPr>
          <w:rFonts w:ascii="Times New Roman" w:cs="Times New Roman" w:eastAsia="Times New Roman" w:hAnsi="Times New Roman"/>
          <w:sz w:val="18"/>
          <w:szCs w:val="18"/>
          <w:color w:val="auto"/>
        </w:rPr>
        <w:t>” means the Cumulus Digital term loan facility, due September 2027, under that certain Credit Agreement, dated as of September 20, 2021, by and among Cumulus Digital and its subsidiaries, Cumulus Digital Holdings and affiliates of Orion, as the same was amended, amended and restated, supplemented or otherwise modified from time-to-time, under which Cumulus Digital borrowed $175 million to support Cumulus Coin’s required contributions to Nautilus, as well as Cumulus Data’s construction of certain shared infrastructure supporting both Nautilus and the Cumulus Data Center Campus. The Cumulus Digital TLF was paid in full on March 1, 2024.</w:t>
      </w:r>
    </w:p>
    <w:p>
      <w:pPr>
        <w:spacing w:after="0" w:line="12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Growth Holdings</w:t>
      </w:r>
      <w:r>
        <w:rPr>
          <w:rFonts w:ascii="Times New Roman" w:cs="Times New Roman" w:eastAsia="Times New Roman" w:hAnsi="Times New Roman"/>
          <w:sz w:val="18"/>
          <w:szCs w:val="18"/>
          <w:color w:val="auto"/>
        </w:rPr>
        <w:t>” means Cumulus Growth Holdings LLC, a direct subsidiary of TES that owns interests in real estate and renewable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240"/>
          </w:cols>
          <w:pgMar w:left="320" w:top="121" w:right="33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Term Sheet</w:t>
      </w:r>
      <w:r>
        <w:rPr>
          <w:rFonts w:ascii="Times New Roman" w:cs="Times New Roman" w:eastAsia="Times New Roman" w:hAnsi="Times New Roman"/>
          <w:sz w:val="18"/>
          <w:szCs w:val="18"/>
          <w:color w:val="auto"/>
        </w:rPr>
        <w:t>” means Term Sheet, dated as of August 29, 2022, by and among, TES, TEC, Cumulus Digital Holdings, Orion, Riverstone and certain of their respective affiliates.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Dartmouth</w:t>
      </w:r>
      <w:r>
        <w:rPr>
          <w:rFonts w:ascii="Times New Roman" w:cs="Times New Roman" w:eastAsia="Times New Roman" w:hAnsi="Times New Roman"/>
          <w:sz w:val="18"/>
          <w:szCs w:val="18"/>
          <w:color w:val="auto"/>
        </w:rPr>
        <w:t>” means a Talen-owned and operated generation facility in Dartmouth, Massachusetts.</w:t>
      </w:r>
    </w:p>
    <w:p>
      <w:pPr>
        <w:spacing w:after="0" w:line="171"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means, (a) prior to December 12, 2022, Talen Energy Supply and all of its direct and indirect subsidiaries, other than: (i) LMBE-MC Holdco and its subsidiaries, (ii) TRF and (iii) the Cumulus Affiliates and (b) from and after December 12, 2022, the foregoing Debtors together with TEC. See Note 3 in Notes to the Annual Financial Statements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means, collectively, the DIP RCF, DIP TLB and DIP LCF.</w:t>
      </w:r>
    </w:p>
    <w:p>
      <w:pPr>
        <w:spacing w:after="0" w:line="171"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LCF</w:t>
      </w:r>
      <w:r>
        <w:rPr>
          <w:rFonts w:ascii="Times New Roman" w:cs="Times New Roman" w:eastAsia="Times New Roman" w:hAnsi="Times New Roman"/>
          <w:sz w:val="18"/>
          <w:szCs w:val="18"/>
          <w:color w:val="auto"/>
        </w:rPr>
        <w:t>” means the letter of credit facility established under the Debtors’ Superpriority Secured Debtor-In-Possession Letter of Credit Facility Agreement, dated as of May 11, 2022, which provided for LCs outstanding under the Prepetition RCF as of commencement of the Restructuring to remain outstanding with superpriority status.</w:t>
      </w:r>
    </w:p>
    <w:p>
      <w:pPr>
        <w:spacing w:after="0" w:line="11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RCF</w:t>
      </w:r>
      <w:r>
        <w:rPr>
          <w:rFonts w:ascii="Times New Roman" w:cs="Times New Roman" w:eastAsia="Times New Roman" w:hAnsi="Times New Roman"/>
          <w:sz w:val="18"/>
          <w:szCs w:val="18"/>
          <w:color w:val="auto"/>
        </w:rPr>
        <w:t>” means the revolving credit facility that provided aggregate revolving commitments of $300 million, including a letter of credit sub-facility of up to $75 million, under the Debtors’ Superpriority Secured Debtor-In-Possession Credit Agreement, dated as of May 11, 2022.</w:t>
      </w:r>
    </w:p>
    <w:p>
      <w:pPr>
        <w:spacing w:after="0" w:line="101" w:lineRule="exact"/>
        <w:rPr>
          <w:sz w:val="20"/>
          <w:szCs w:val="20"/>
          <w:color w:val="auto"/>
        </w:rPr>
      </w:pPr>
    </w:p>
    <w:p>
      <w:pPr>
        <w:ind w:right="100" w:firstLine="32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DIP Secured ISDAs</w:t>
      </w:r>
      <w:r>
        <w:rPr>
          <w:rFonts w:ascii="Times New Roman" w:cs="Times New Roman" w:eastAsia="Times New Roman" w:hAnsi="Times New Roman"/>
          <w:sz w:val="17"/>
          <w:szCs w:val="17"/>
          <w:color w:val="auto"/>
        </w:rPr>
        <w:t>” means certain bilateral secured International Swaps and Derivatives Association (“ISDA”) agreements and Base Contracts for Sale and Purchase of Natural Gas as published by the North American Energy Standards Board (“NAESB”) of Talen Energy Marketing, the obligations under which were secured by a superpriority lien and security interest in substantially all of the assets of Talen Energy Supply and the Debtors.</w:t>
      </w:r>
    </w:p>
    <w:p>
      <w:pPr>
        <w:spacing w:after="0" w:line="99"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TLB</w:t>
      </w:r>
      <w:r>
        <w:rPr>
          <w:rFonts w:ascii="Times New Roman" w:cs="Times New Roman" w:eastAsia="Times New Roman" w:hAnsi="Times New Roman"/>
          <w:sz w:val="18"/>
          <w:szCs w:val="18"/>
          <w:color w:val="auto"/>
        </w:rPr>
        <w:t>” means the term loan B facility in an aggregate principal amount of $1 billion under the Debtors’ Superpriority Secured Debtor-In-Possession Credit Agreement, dated as of May 11, 2022.</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EGU</w:t>
      </w:r>
      <w:r>
        <w:rPr>
          <w:rFonts w:ascii="Times New Roman" w:cs="Times New Roman" w:eastAsia="Times New Roman" w:hAnsi="Times New Roman"/>
          <w:sz w:val="18"/>
          <w:szCs w:val="18"/>
          <w:color w:val="auto"/>
        </w:rPr>
        <w:t>” means Electric Generating Unit.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means the Environmental Impact Statement related to mining permits.</w:t>
      </w:r>
    </w:p>
    <w:p>
      <w:pPr>
        <w:spacing w:after="0" w:line="17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Emergence</w:t>
      </w:r>
      <w:r>
        <w:rPr>
          <w:rFonts w:ascii="Times New Roman" w:cs="Times New Roman" w:eastAsia="Times New Roman" w:hAnsi="Times New Roman"/>
          <w:sz w:val="18"/>
          <w:szCs w:val="18"/>
          <w:color w:val="auto"/>
        </w:rPr>
        <w:t>” means May 17, 2023, the date that the Plan of Reorganization became effective in accordance with the terms thereof and the Debtors emerged from the Restructuring.</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w:t>
      </w:r>
      <w:r>
        <w:rPr>
          <w:rFonts w:ascii="Times New Roman" w:cs="Times New Roman" w:eastAsia="Times New Roman" w:hAnsi="Times New Roman"/>
          <w:sz w:val="18"/>
          <w:szCs w:val="18"/>
          <w:color w:val="auto"/>
        </w:rPr>
        <w:t>” means the U.S. Environmental Protection Agency.</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2015 Ozone Standard</w:t>
      </w:r>
      <w:r>
        <w:rPr>
          <w:rFonts w:ascii="Times New Roman" w:cs="Times New Roman" w:eastAsia="Times New Roman" w:hAnsi="Times New Roman"/>
          <w:sz w:val="18"/>
          <w:szCs w:val="18"/>
          <w:color w:val="auto"/>
        </w:rPr>
        <w:t>” means the EPA’s 2015 revision to the 8-hour ozone EPA NAAQS for ground-level ozone to 70 parts per billion, based on extensive scientific evidence about ozone’s effects on public health and welfare.</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CCR Rule</w:t>
      </w:r>
      <w:r>
        <w:rPr>
          <w:rFonts w:ascii="Times New Roman" w:cs="Times New Roman" w:eastAsia="Times New Roman" w:hAnsi="Times New Roman"/>
          <w:sz w:val="18"/>
          <w:szCs w:val="18"/>
          <w:color w:val="auto"/>
        </w:rPr>
        <w:t>” means the national regulatory standards required by the EPA for the management of CCRs in landfills and surface impoundments.</w:t>
      </w:r>
    </w:p>
    <w:p>
      <w:pPr>
        <w:spacing w:after="0" w:line="171"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CSAPR</w:t>
      </w:r>
      <w:r>
        <w:rPr>
          <w:rFonts w:ascii="Times New Roman" w:cs="Times New Roman" w:eastAsia="Times New Roman" w:hAnsi="Times New Roman"/>
          <w:sz w:val="18"/>
          <w:szCs w:val="18"/>
          <w:color w:val="auto"/>
        </w:rPr>
        <w:t>” means the Cross-State Air Pollution Rule. Requires 28 states in the eastern half of the U.S. to reduce power plant emissions that cross state lines and contribute to ground-level ozone and fine particle pollution in other states. A cap-and-trade system is used to reduce the target pollutants— sulfur dioxide and nitrogen oxides.</w:t>
      </w:r>
    </w:p>
    <w:p>
      <w:pPr>
        <w:spacing w:after="0" w:line="117" w:lineRule="exact"/>
        <w:rPr>
          <w:sz w:val="20"/>
          <w:szCs w:val="20"/>
          <w:color w:val="auto"/>
        </w:rPr>
      </w:pPr>
    </w:p>
    <w:p>
      <w:pPr>
        <w:jc w:val="both"/>
        <w:ind w:right="2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ELG Rule</w:t>
      </w:r>
      <w:r>
        <w:rPr>
          <w:rFonts w:ascii="Times New Roman" w:cs="Times New Roman" w:eastAsia="Times New Roman" w:hAnsi="Times New Roman"/>
          <w:sz w:val="18"/>
          <w:szCs w:val="18"/>
          <w:color w:val="auto"/>
        </w:rPr>
        <w:t>” means 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spacing w:after="0" w:line="117"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MATS Rule</w:t>
      </w:r>
      <w:r>
        <w:rPr>
          <w:rFonts w:ascii="Times New Roman" w:cs="Times New Roman" w:eastAsia="Times New Roman" w:hAnsi="Times New Roman"/>
          <w:sz w:val="18"/>
          <w:szCs w:val="18"/>
          <w:color w:val="auto"/>
        </w:rPr>
        <w:t>” means the Mercury and Air Toxics Standards, EPA technology-based emissions standards for mercury and other hazardous air pollutants emitted by generation units with a capacity of more than 25 megawatts.</w:t>
      </w:r>
    </w:p>
    <w:p>
      <w:pPr>
        <w:spacing w:after="0" w:line="10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NAAQS</w:t>
      </w:r>
      <w:r>
        <w:rPr>
          <w:rFonts w:ascii="Times New Roman" w:cs="Times New Roman" w:eastAsia="Times New Roman" w:hAnsi="Times New Roman"/>
          <w:sz w:val="18"/>
          <w:szCs w:val="18"/>
          <w:color w:val="auto"/>
        </w:rPr>
        <w:t>” means the National Ambient Air Quality Standards, which define the maximum amount of a pollutant averaged over a specified period of time that can be present in outdoor air without harming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220"/>
          </w:cols>
          <w:pgMar w:left="320" w:top="121" w:right="359" w:bottom="1440" w:gutter="0" w:footer="0" w:header="0"/>
        </w:sectPr>
      </w:pPr>
    </w:p>
    <w:bookmarkStart w:id="291" w:name="page292"/>
    <w:bookmarkEnd w:id="291"/>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NESHAP</w:t>
      </w:r>
      <w:r>
        <w:rPr>
          <w:rFonts w:ascii="Times New Roman" w:cs="Times New Roman" w:eastAsia="Times New Roman" w:hAnsi="Times New Roman"/>
          <w:sz w:val="18"/>
          <w:szCs w:val="18"/>
          <w:color w:val="auto"/>
        </w:rPr>
        <w:t>” means the National Emissions Standards for Hazardous Air Pollutants, an EPA standard that is applicable to the emissions of hazardous air pollutants produced by corporations, institutions and government agencies.</w:t>
      </w:r>
    </w:p>
    <w:p>
      <w:pPr>
        <w:spacing w:after="0" w:line="10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RTR</w:t>
      </w:r>
      <w:r>
        <w:rPr>
          <w:rFonts w:ascii="Times New Roman" w:cs="Times New Roman" w:eastAsia="Times New Roman" w:hAnsi="Times New Roman"/>
          <w:sz w:val="18"/>
          <w:szCs w:val="18"/>
          <w:color w:val="auto"/>
        </w:rPr>
        <w:t>” means the EPA’s Risk and Technology Review of the EPA NESHAP, which is a combined effort to evaluate both risk and technology as required by the Clean Air Act after the application of maximum achievable control technology standards.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means earnings per share.</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means 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Sale</w:t>
      </w:r>
      <w:r>
        <w:rPr>
          <w:rFonts w:ascii="Times New Roman" w:cs="Times New Roman" w:eastAsia="Times New Roman" w:hAnsi="Times New Roman"/>
          <w:sz w:val="18"/>
          <w:szCs w:val="18"/>
          <w:color w:val="auto"/>
        </w:rPr>
        <w:t>” means the sale of our ERCOT fleet to CPS Energy in May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means environmental, social and corporate governance.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Financings</w:t>
      </w:r>
      <w:r>
        <w:rPr>
          <w:rFonts w:ascii="Times New Roman" w:cs="Times New Roman" w:eastAsia="Times New Roman" w:hAnsi="Times New Roman"/>
          <w:sz w:val="18"/>
          <w:szCs w:val="18"/>
          <w:color w:val="auto"/>
        </w:rPr>
        <w:t>” means TES’s issuance of the Secured Notes and entry into the Credit Facilities in connection with Emergence.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Quiet Title Act</w:t>
      </w:r>
      <w:r>
        <w:rPr>
          <w:rFonts w:ascii="Times New Roman" w:cs="Times New Roman" w:eastAsia="Times New Roman" w:hAnsi="Times New Roman"/>
          <w:sz w:val="18"/>
          <w:szCs w:val="18"/>
          <w:color w:val="auto"/>
        </w:rPr>
        <w:t>” means the federal statute that provides for legal proceedings to determine ownership of real property.</w:t>
      </w:r>
    </w:p>
    <w:p>
      <w:pPr>
        <w:spacing w:after="0" w:line="17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U.S. Federal Energy Regulatory Commission. FERC regulates interstate transmission and wholesale sales of electricity, interstate transportation of natural gas and oil, hydropower projects and natural gas terminals.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w:t>
      </w:r>
      <w:r>
        <w:rPr>
          <w:rFonts w:ascii="Times New Roman" w:cs="Times New Roman" w:eastAsia="Times New Roman" w:hAnsi="Times New Roman"/>
          <w:sz w:val="18"/>
          <w:szCs w:val="18"/>
          <w:color w:val="auto"/>
        </w:rPr>
        <w:t>” means Gigawatt, one million kilowatts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GWh</w:t>
      </w:r>
      <w:r>
        <w:rPr>
          <w:rFonts w:ascii="Times New Roman" w:cs="Times New Roman" w:eastAsia="Times New Roman" w:hAnsi="Times New Roman"/>
          <w:sz w:val="18"/>
          <w:szCs w:val="18"/>
          <w:color w:val="auto"/>
        </w:rPr>
        <w:t>” means Gigawatts of electric power per hour.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 Wagner</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IBEW</w:t>
      </w:r>
      <w:r>
        <w:rPr>
          <w:rFonts w:ascii="Times New Roman" w:cs="Times New Roman" w:eastAsia="Times New Roman" w:hAnsi="Times New Roman"/>
          <w:sz w:val="18"/>
          <w:szCs w:val="18"/>
          <w:color w:val="auto"/>
        </w:rPr>
        <w:t>” means International Brotherhood of Electrical Workers, a labor union.</w:t>
      </w:r>
    </w:p>
    <w:p>
      <w:pPr>
        <w:spacing w:after="0" w:line="171"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Indenture, dated as of May 12, 2023, as supplemented by the First Supplemental Indenture, dated as of May 17, 2023, as further supplemented by the Second Supplemental Indenture, dated as of October 6, 2023, each between TES, the Subsidiary Guarantors and Wilmington Savings Fund Society, FSB, as trustee, which governs the Secured Notes, as the same may be further amended, amended and restated, supplemented or otherwise modified from time-to-time.</w:t>
      </w:r>
    </w:p>
    <w:p>
      <w:pPr>
        <w:spacing w:after="0" w:line="122"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the Inflation Reduction Act of 2022, which was signed into law in August 2022. Among the Inflation Reduction Act’s provisions are: (i) amendments to the Code to create a nuclear production tax credit program; (ii) the creation, extension and modification of tax credit programs for certain clean energy projects, such as solar, wind and battery storage; and (iii) adjustments to corporate tax rates.</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means the unaudited condensed consolidated balance sheet of TEC as of March 31, 2024 the related condensed consolidated statements of operations, statements of comprehensive income (loss), statements of cash flows, and statements of equity for the three months ended March 31, 2024 (Successor) and 2023 (Predecessor), and the related notes.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Independent System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200"/>
          </w:cols>
          <w:pgMar w:left="320" w:top="121" w:right="379"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means a generation facility located in Shelocta, Pennsylvania, in which Talen Generation, through a direct subsidiary, owns a 12.34% undivided interest. Keystone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 Fuels</w:t>
      </w:r>
      <w:r>
        <w:rPr>
          <w:rFonts w:ascii="Times New Roman" w:cs="Times New Roman" w:eastAsia="Times New Roman" w:hAnsi="Times New Roman"/>
          <w:sz w:val="18"/>
          <w:szCs w:val="18"/>
          <w:color w:val="auto"/>
        </w:rPr>
        <w:t>” means Keystone Fuels, LLC, an entity in which Talen Generation owns a 12.34% equity interest, which engages in the purchase of coal, the subsequent sale of coal to Keystone and other fuel-related activities.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KWh</w:t>
      </w:r>
      <w:r>
        <w:rPr>
          <w:rFonts w:ascii="Times New Roman" w:cs="Times New Roman" w:eastAsia="Times New Roman" w:hAnsi="Times New Roman"/>
          <w:sz w:val="18"/>
          <w:szCs w:val="18"/>
          <w:color w:val="auto"/>
        </w:rPr>
        <w:t>” means kilowatts of electric power per hour.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Laredo</w:t>
      </w:r>
      <w:r>
        <w:rPr>
          <w:rFonts w:ascii="Times New Roman" w:cs="Times New Roman" w:eastAsia="Times New Roman" w:hAnsi="Times New Roman"/>
          <w:sz w:val="18"/>
          <w:szCs w:val="18"/>
          <w:color w:val="auto"/>
        </w:rPr>
        <w:t>” means a generation facility in Laredo, Texas, owned and operated by Talen prior to the ERCOT Sale.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means letter of credit.</w:t>
      </w:r>
    </w:p>
    <w:p>
      <w:pPr>
        <w:spacing w:after="0" w:line="17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w:t>
      </w:r>
      <w:r>
        <w:rPr>
          <w:rFonts w:ascii="Times New Roman" w:cs="Times New Roman" w:eastAsia="Times New Roman" w:hAnsi="Times New Roman"/>
          <w:sz w:val="18"/>
          <w:szCs w:val="18"/>
          <w:color w:val="auto"/>
        </w:rPr>
        <w:t>” means LMBE-MC HoldCo II LLC, a former direct subsidiary of LMBE-MC Holdco that, through its subsidiaries, owned generation facility operations in Pennsylvania and was the borrower under the LMBE-MC TLB and LMBE-MC RCF. Following termination of the LMBE-MC Credit Agreement, LMBE-MC was dissolved and its generation subsidiaries were distributed to Talen Generation.</w:t>
      </w:r>
    </w:p>
    <w:p>
      <w:pPr>
        <w:spacing w:after="0" w:line="1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Credit Agreement</w:t>
      </w:r>
      <w:r>
        <w:rPr>
          <w:rFonts w:ascii="Times New Roman" w:cs="Times New Roman" w:eastAsia="Times New Roman" w:hAnsi="Times New Roman"/>
          <w:sz w:val="18"/>
          <w:szCs w:val="18"/>
          <w:color w:val="auto"/>
        </w:rPr>
        <w:t>” means the Credit and Guaranty Agreement, dated as of December 3, 2018, among LMBE-MC, as borrower, LMBE-MC Holdco, as holdings, the guarantors named therein, MUFG Union Bank, N.A., as initial issuing bank and MUFG Bank, LTD, as administrative agent, which governs the LMBE-MC RCF and the LMBE-MC TLB, as the same may be amended, amended and restated, supplemented or otherwise modified from time-to-time. The LMBE-MC Credit Agreement was terminated in August 2023.</w:t>
      </w:r>
    </w:p>
    <w:p>
      <w:pPr>
        <w:spacing w:after="0" w:line="12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Holdco</w:t>
      </w:r>
      <w:r>
        <w:rPr>
          <w:rFonts w:ascii="Times New Roman" w:cs="Times New Roman" w:eastAsia="Times New Roman" w:hAnsi="Times New Roman"/>
          <w:sz w:val="18"/>
          <w:szCs w:val="18"/>
          <w:color w:val="auto"/>
        </w:rPr>
        <w:t>” means LMBE-MC HoldCo I LLC, a former direct subsidiary of Talen Generation and the parent of LMBE-MC that, through its subsidiaries, owned generation facility operations in Pennsylvania. Following termination of the LMBE-MC Credit Agreement, LMBE-MC Holdco was dissolved and its generation subsidiaries were distributed to Talen Generation.</w:t>
      </w:r>
    </w:p>
    <w:p>
      <w:pPr>
        <w:spacing w:after="0" w:line="117"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RCF</w:t>
      </w:r>
      <w:r>
        <w:rPr>
          <w:rFonts w:ascii="Times New Roman" w:cs="Times New Roman" w:eastAsia="Times New Roman" w:hAnsi="Times New Roman"/>
          <w:sz w:val="18"/>
          <w:szCs w:val="18"/>
          <w:color w:val="auto"/>
        </w:rPr>
        <w:t>” means the revolving credit facility, including a letter of credit sub-facility, maturing in December 2023, established under the LMBE-MC Credit Agreement. Obligations under the LMBE-MC RCF were guaranteed by LMBE-MC Holdco and its subsidiaries and secured by a first priority lien and security interest in substantially all of their assets. The LMBE-MC RCF was terminated in August 2023. See Note 13 in Notes to the Annual Financial Statements for additional information.</w:t>
      </w:r>
    </w:p>
    <w:p>
      <w:pPr>
        <w:spacing w:after="0" w:line="12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TLB</w:t>
      </w:r>
      <w:r>
        <w:rPr>
          <w:rFonts w:ascii="Times New Roman" w:cs="Times New Roman" w:eastAsia="Times New Roman" w:hAnsi="Times New Roman"/>
          <w:sz w:val="18"/>
          <w:szCs w:val="18"/>
          <w:color w:val="auto"/>
        </w:rPr>
        <w:t>” means the term loan B facility, due December 2025, established under the LMBE-MC Credit and Guaranty Agreement. Obligations under the LMBE-MC TLB were guaranteed by LMBE-MC Holdco and its subsidiaries and secured by a first priority lien and security interest in substantially all of their assets. The LMBE-MC TLB was repaid in full and terminated in August 2023. See Note 13 in Notes to the Annual Financial Statements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Mt. Bethel</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Martins Creek</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MBER</w:t>
      </w:r>
      <w:r>
        <w:rPr>
          <w:rFonts w:ascii="Times New Roman" w:cs="Times New Roman" w:eastAsia="Times New Roman" w:hAnsi="Times New Roman"/>
          <w:sz w:val="18"/>
          <w:szCs w:val="18"/>
          <w:color w:val="auto"/>
        </w:rPr>
        <w:t>” means Montana Board of Environmental Review, a state-level government agency responsible for administering environmental regulatory, clean up, monitoring, pollution prevention and energy conservation laws.</w:t>
      </w:r>
    </w:p>
    <w:p>
      <w:pPr>
        <w:spacing w:after="0" w:line="101"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MDEQ</w:t>
      </w:r>
      <w:r>
        <w:rPr>
          <w:rFonts w:ascii="Times New Roman" w:cs="Times New Roman" w:eastAsia="Times New Roman" w:hAnsi="Times New Roman"/>
          <w:sz w:val="18"/>
          <w:szCs w:val="18"/>
          <w:color w:val="auto"/>
        </w:rPr>
        <w:t>” means Montana Department of Environmental Quality, which is responsible for regulating air, water and ground resources to administer Montana’s environmental and mine reclamation laws.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MEIC</w:t>
      </w:r>
      <w:r>
        <w:rPr>
          <w:rFonts w:ascii="Times New Roman" w:cs="Times New Roman" w:eastAsia="Times New Roman" w:hAnsi="Times New Roman"/>
          <w:sz w:val="18"/>
          <w:szCs w:val="18"/>
          <w:color w:val="auto"/>
        </w:rPr>
        <w:t>” means Montana Environmental Information Center, a non-partisan, non-profit environmental advocacy group.</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means one million British Thermal Units.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Montour</w:t>
      </w:r>
      <w:r>
        <w:rPr>
          <w:rFonts w:ascii="Times New Roman" w:cs="Times New Roman" w:eastAsia="Times New Roman" w:hAnsi="Times New Roman"/>
          <w:sz w:val="18"/>
          <w:szCs w:val="18"/>
          <w:color w:val="auto"/>
        </w:rPr>
        <w:t>” means a Talen-owned and operated generation facility in Washingtonville,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240"/>
          </w:cols>
          <w:pgMar w:left="320" w:top="121" w:right="339" w:bottom="1440" w:gutter="0" w:footer="0" w:header="0"/>
        </w:sectPr>
      </w:pPr>
    </w:p>
    <w:bookmarkStart w:id="293" w:name="page294"/>
    <w:bookmarkEnd w:id="293"/>
    <w:p>
      <w:pPr>
        <w:jc w:val="center"/>
        <w:ind w:right="-5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means megawatt, one thousand kilowatts (one million watts) of electric power.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MWh</w:t>
      </w:r>
      <w:r>
        <w:rPr>
          <w:rFonts w:ascii="Times New Roman" w:cs="Times New Roman" w:eastAsia="Times New Roman" w:hAnsi="Times New Roman"/>
          <w:sz w:val="18"/>
          <w:szCs w:val="18"/>
          <w:color w:val="auto"/>
        </w:rPr>
        <w:t>” means megawatt hour, or megawatts of electric power per hour.</w:t>
      </w:r>
    </w:p>
    <w:p>
      <w:pPr>
        <w:spacing w:after="0" w:line="17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 means Nautilus Cryptomine LLC, a joint venture owned, as of March 31, 2024, 75% by Cumulus Coin and 25% by TeraWulf, which owns and operates a cryptomining project on land at the Cumulus Data Campus.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18"/>
          <w:szCs w:val="18"/>
          <w:color w:val="auto"/>
        </w:rPr>
        <w:t>” means net asset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NCI</w:t>
      </w:r>
      <w:r>
        <w:rPr>
          <w:rFonts w:ascii="Times New Roman" w:cs="Times New Roman" w:eastAsia="Times New Roman" w:hAnsi="Times New Roman"/>
          <w:sz w:val="18"/>
          <w:szCs w:val="18"/>
          <w:color w:val="auto"/>
        </w:rPr>
        <w:t>” means non-controlling interest.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NDT</w:t>
      </w:r>
      <w:r>
        <w:rPr>
          <w:rFonts w:ascii="Times New Roman" w:cs="Times New Roman" w:eastAsia="Times New Roman" w:hAnsi="Times New Roman"/>
          <w:sz w:val="18"/>
          <w:szCs w:val="18"/>
          <w:color w:val="auto"/>
        </w:rPr>
        <w:t>” means the nuclear facility decommissioning trust for Susquehanna.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NEIL</w:t>
      </w:r>
      <w:r>
        <w:rPr>
          <w:rFonts w:ascii="Times New Roman" w:cs="Times New Roman" w:eastAsia="Times New Roman" w:hAnsi="Times New Roman"/>
          <w:sz w:val="18"/>
          <w:szCs w:val="18"/>
          <w:color w:val="auto"/>
        </w:rPr>
        <w:t>” means Nuclear Electric Insurance Limited.</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NEPA</w:t>
      </w:r>
      <w:r>
        <w:rPr>
          <w:rFonts w:ascii="Times New Roman" w:cs="Times New Roman" w:eastAsia="Times New Roman" w:hAnsi="Times New Roman"/>
          <w:sz w:val="18"/>
          <w:szCs w:val="18"/>
          <w:color w:val="auto"/>
        </w:rPr>
        <w:t>” means National Environmental Policy Act, which requires federal agencies to assess the environmental effects of their proposed actions prior to making decisions. The range of actions covered by NEPA is broad and includes making decisions on permit applications, adopting federal land management actions and constructing highways and other publicly-owned facilities.</w:t>
      </w:r>
    </w:p>
    <w:p>
      <w:pPr>
        <w:spacing w:after="0" w:line="117"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NERC</w:t>
      </w:r>
      <w:r>
        <w:rPr>
          <w:rFonts w:ascii="Times New Roman" w:cs="Times New Roman" w:eastAsia="Times New Roman" w:hAnsi="Times New Roman"/>
          <w:sz w:val="18"/>
          <w:szCs w:val="18"/>
          <w:color w:val="auto"/>
        </w:rPr>
        <w:t>” means the North American Electric Reliability Corporation, a not-for-profit international regulatory authority whose mission is to assure the effective and efficient reduction of risks to the reliability and security of the grid.</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means net operating loss.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NorthWestern</w:t>
      </w:r>
      <w:r>
        <w:rPr>
          <w:rFonts w:ascii="Times New Roman" w:cs="Times New Roman" w:eastAsia="Times New Roman" w:hAnsi="Times New Roman"/>
          <w:sz w:val="18"/>
          <w:szCs w:val="18"/>
          <w:color w:val="auto"/>
        </w:rPr>
        <w:t>” means NorthWestern Corporation d/b/a NorthWestern Energy, a co-owner in Colstrip.</w:t>
      </w:r>
    </w:p>
    <w:p>
      <w:pPr>
        <w:spacing w:after="0" w:line="171"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Nuclear PTC</w:t>
      </w:r>
      <w:r>
        <w:rPr>
          <w:rFonts w:ascii="Times New Roman" w:cs="Times New Roman" w:eastAsia="Times New Roman" w:hAnsi="Times New Roman"/>
          <w:sz w:val="18"/>
          <w:szCs w:val="18"/>
          <w:color w:val="auto"/>
        </w:rPr>
        <w:t>” means the nuclear production tax credit under the Inflation Reduction Act.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Nueces Bay</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OCI</w:t>
      </w:r>
      <w:r>
        <w:rPr>
          <w:rFonts w:ascii="Times New Roman" w:cs="Times New Roman" w:eastAsia="Times New Roman" w:hAnsi="Times New Roman"/>
          <w:sz w:val="18"/>
          <w:szCs w:val="18"/>
          <w:color w:val="auto"/>
        </w:rPr>
        <w:t>” means other comprehensive income or loss.</w:t>
      </w:r>
    </w:p>
    <w:p>
      <w:pPr>
        <w:spacing w:after="0" w:line="17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Reserve Demand Curve</w:t>
      </w:r>
      <w:r>
        <w:rPr>
          <w:rFonts w:ascii="Times New Roman" w:cs="Times New Roman" w:eastAsia="Times New Roman" w:hAnsi="Times New Roman"/>
          <w:sz w:val="18"/>
          <w:szCs w:val="18"/>
          <w:color w:val="auto"/>
        </w:rPr>
        <w:t>” means ERCOT’s Operating Reserve Demand Curve, which is a market mechanism that values operating reserves in the wholesale electric market based on the scarcity of those reserves and reflects that value in energy prices.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Orion</w:t>
      </w:r>
      <w:r>
        <w:rPr>
          <w:rFonts w:ascii="Times New Roman" w:cs="Times New Roman" w:eastAsia="Times New Roman" w:hAnsi="Times New Roman"/>
          <w:sz w:val="18"/>
          <w:szCs w:val="18"/>
          <w:color w:val="auto"/>
        </w:rPr>
        <w:t>” means Orion Energy Partners, whose affiliates were third-party lenders under in the Cumulus Digital TLF.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OSM</w:t>
      </w:r>
      <w:r>
        <w:rPr>
          <w:rFonts w:ascii="Times New Roman" w:cs="Times New Roman" w:eastAsia="Times New Roman" w:hAnsi="Times New Roman"/>
          <w:sz w:val="18"/>
          <w:szCs w:val="18"/>
          <w:color w:val="auto"/>
        </w:rPr>
        <w:t>” means the U.S. Office of Surface Mining Reclamation and Enforcement.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Season</w:t>
      </w:r>
      <w:r>
        <w:rPr>
          <w:rFonts w:ascii="Times New Roman" w:cs="Times New Roman" w:eastAsia="Times New Roman" w:hAnsi="Times New Roman"/>
          <w:sz w:val="18"/>
          <w:szCs w:val="18"/>
          <w:color w:val="auto"/>
        </w:rPr>
        <w:t>” means a period of time in which ground-level ozone reaches its highest concentrations in the air.</w:t>
      </w:r>
    </w:p>
    <w:p>
      <w:pPr>
        <w:spacing w:after="0" w:line="171" w:lineRule="exact"/>
        <w:rPr>
          <w:sz w:val="20"/>
          <w:szCs w:val="20"/>
          <w:color w:val="auto"/>
        </w:rPr>
      </w:pPr>
    </w:p>
    <w:p>
      <w:pPr>
        <w:ind w:right="9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Transport Commission</w:t>
      </w:r>
      <w:r>
        <w:rPr>
          <w:rFonts w:ascii="Times New Roman" w:cs="Times New Roman" w:eastAsia="Times New Roman" w:hAnsi="Times New Roman"/>
          <w:sz w:val="18"/>
          <w:szCs w:val="18"/>
          <w:color w:val="auto"/>
        </w:rPr>
        <w:t>” means a multi-state organization created under the Clean Air Act responsible for advising the EPA and implementing regional solutions to ground-level ozone issues.</w:t>
      </w:r>
    </w:p>
    <w:p>
      <w:pPr>
        <w:spacing w:after="0" w:line="10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DEP</w:t>
      </w:r>
      <w:r>
        <w:rPr>
          <w:rFonts w:ascii="Times New Roman" w:cs="Times New Roman" w:eastAsia="Times New Roman" w:hAnsi="Times New Roman"/>
          <w:sz w:val="18"/>
          <w:szCs w:val="18"/>
          <w:color w:val="auto"/>
        </w:rPr>
        <w:t>” means the Pennsylvania Department of Environmental Protection, the agency in the state of Pennsylvania responsible for protecting and preserving the land, air, water and public health through enforcement of the state’s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80"/>
          </w:cols>
          <w:pgMar w:left="320" w:top="121" w:right="39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Pattern Energy</w:t>
      </w:r>
      <w:r>
        <w:rPr>
          <w:rFonts w:ascii="Times New Roman" w:cs="Times New Roman" w:eastAsia="Times New Roman" w:hAnsi="Times New Roman"/>
          <w:sz w:val="18"/>
          <w:szCs w:val="18"/>
          <w:color w:val="auto"/>
        </w:rPr>
        <w:t>” means Pattern Renewables 2 LP, an unaffiliated third party in which Riverstone holds a minority interest.</w:t>
      </w:r>
    </w:p>
    <w:p>
      <w:pPr>
        <w:spacing w:after="0" w:line="17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PEDFA Bonds</w:t>
      </w:r>
      <w:r>
        <w:rPr>
          <w:rFonts w:ascii="Times New Roman" w:cs="Times New Roman" w:eastAsia="Times New Roman" w:hAnsi="Times New Roman"/>
          <w:sz w:val="18"/>
          <w:szCs w:val="18"/>
          <w:color w:val="auto"/>
        </w:rPr>
        <w:t>” means the following series of Pennsylvania Economic Development Financing Authority (“PEDFA”) Exempt Facilities Revenue Refunding Bonds: Series 2009A due December 2038 (“PEDFA 2009A Bonds”); Series 2009B due December 2038 (“PEDFA 2009B Bonds”); and Series 2009C due December 2037 (“PEDFA 2009C Bonds”). All series of the PEDFA Bonds were guaranteed by certain of the Prepetition Guarantors.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means, with respect to a Debtor, the date on which such Debtor commenced its Restructuring, either May 9, 2022 or May 10, 2022.</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means paid-in-kind.</w:t>
      </w:r>
    </w:p>
    <w:p>
      <w:pPr>
        <w:spacing w:after="0" w:line="171"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means 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spacing w:after="0" w:line="117"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ACR</w:t>
      </w:r>
      <w:r>
        <w:rPr>
          <w:rFonts w:ascii="Times New Roman" w:cs="Times New Roman" w:eastAsia="Times New Roman" w:hAnsi="Times New Roman"/>
          <w:sz w:val="18"/>
          <w:szCs w:val="18"/>
          <w:color w:val="auto"/>
        </w:rPr>
        <w:t>” means PJM’s “Avoidable Cost Rate” defined under the PJM Open Access Transmission Tariff, if the formula that serves as the PJM MSOC.</w:t>
      </w:r>
    </w:p>
    <w:p>
      <w:pPr>
        <w:spacing w:after="0" w:line="10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Base Residual Auction</w:t>
      </w:r>
      <w:r>
        <w:rPr>
          <w:rFonts w:ascii="Times New Roman" w:cs="Times New Roman" w:eastAsia="Times New Roman" w:hAnsi="Times New Roman"/>
          <w:sz w:val="18"/>
          <w:szCs w:val="18"/>
          <w:color w:val="auto"/>
        </w:rPr>
        <w:t>” means a component of the PJM RPM, the PJM Base Residual Auction, is intended to secure power supply resources from market participants in advance of the PJM Capacity Year. It is usually held during the month of May three years prior to the start of the PJM Capacity Year.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Capacity Year</w:t>
      </w:r>
      <w:r>
        <w:rPr>
          <w:rFonts w:ascii="Times New Roman" w:cs="Times New Roman" w:eastAsia="Times New Roman" w:hAnsi="Times New Roman"/>
          <w:sz w:val="18"/>
          <w:szCs w:val="18"/>
          <w:color w:val="auto"/>
        </w:rPr>
        <w:t>” means the PJM capacity revenues delivery years cover the period from June 1 to May 31.</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IMM</w:t>
      </w:r>
      <w:r>
        <w:rPr>
          <w:rFonts w:ascii="Times New Roman" w:cs="Times New Roman" w:eastAsia="Times New Roman" w:hAnsi="Times New Roman"/>
          <w:sz w:val="18"/>
          <w:szCs w:val="18"/>
          <w:color w:val="auto"/>
        </w:rPr>
        <w:t>” means the Independent Market Monitor for PJM, who is intended to operate independently from PJM staff and members to objectively monitor, investigate, evaluate and report on PJM’s markets and is responsible for guarding against the exercise of market power.</w:t>
      </w:r>
    </w:p>
    <w:p>
      <w:pPr>
        <w:spacing w:after="0" w:line="10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MOPR</w:t>
      </w:r>
      <w:r>
        <w:rPr>
          <w:rFonts w:ascii="Times New Roman" w:cs="Times New Roman" w:eastAsia="Times New Roman" w:hAnsi="Times New Roman"/>
          <w:sz w:val="18"/>
          <w:szCs w:val="18"/>
          <w:color w:val="auto"/>
        </w:rPr>
        <w:t>” means the Minimum Offer Price Rule, which limits the minimum price at which certain units can bid into the auction due to certain external subsidization.</w:t>
      </w:r>
    </w:p>
    <w:p>
      <w:pPr>
        <w:spacing w:after="0" w:line="10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MSOC</w:t>
      </w:r>
      <w:r>
        <w:rPr>
          <w:rFonts w:ascii="Times New Roman" w:cs="Times New Roman" w:eastAsia="Times New Roman" w:hAnsi="Times New Roman"/>
          <w:sz w:val="18"/>
          <w:szCs w:val="18"/>
          <w:color w:val="auto"/>
        </w:rPr>
        <w:t>” means the PJM Market Seller Offer Cap, which is the price ceiling applied by PJM to certain capacity sell offers and is based on the PJM ACR.</w:t>
      </w:r>
    </w:p>
    <w:p>
      <w:pPr>
        <w:spacing w:after="0" w:line="10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RPM</w:t>
      </w:r>
      <w:r>
        <w:rPr>
          <w:rFonts w:ascii="Times New Roman" w:cs="Times New Roman" w:eastAsia="Times New Roman" w:hAnsi="Times New Roman"/>
          <w:sz w:val="18"/>
          <w:szCs w:val="18"/>
          <w:color w:val="auto"/>
        </w:rPr>
        <w:t>” means 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Reorganization</w:t>
      </w:r>
      <w:r>
        <w:rPr>
          <w:rFonts w:ascii="Times New Roman" w:cs="Times New Roman" w:eastAsia="Times New Roman" w:hAnsi="Times New Roman"/>
          <w:sz w:val="18"/>
          <w:szCs w:val="18"/>
          <w:color w:val="auto"/>
        </w:rPr>
        <w:t>” means the Joint Chapter 11 Plan of Reorganization of Talen Energy Supply, LLC and Its Affiliated Debtors [Docket 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1206], as subsequently amended, supplemented or otherwise modified, and any exhibits or schedules thereto.</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PP&amp;E</w:t>
      </w:r>
      <w:r>
        <w:rPr>
          <w:rFonts w:ascii="Times New Roman" w:cs="Times New Roman" w:eastAsia="Times New Roman" w:hAnsi="Times New Roman"/>
          <w:sz w:val="18"/>
          <w:szCs w:val="18"/>
          <w:color w:val="auto"/>
        </w:rPr>
        <w:t>” means property, plant and equipment.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PPL</w:t>
      </w:r>
      <w:r>
        <w:rPr>
          <w:rFonts w:ascii="Times New Roman" w:cs="Times New Roman" w:eastAsia="Times New Roman" w:hAnsi="Times New Roman"/>
          <w:sz w:val="18"/>
          <w:szCs w:val="18"/>
          <w:color w:val="auto"/>
        </w:rPr>
        <w:t>” means PPL Corporation, the former indirect parent holding company of Talen Energy Supply and Talen Energy Corporation until 2015.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relates to the financial position or results of operations of Talen Energy Supply for periods prior to Emergence, or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220"/>
          </w:cols>
          <w:pgMar w:left="320" w:top="121" w:right="359"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CAF</w:t>
      </w:r>
      <w:r>
        <w:rPr>
          <w:rFonts w:ascii="Times New Roman" w:cs="Times New Roman" w:eastAsia="Times New Roman" w:hAnsi="Times New Roman"/>
          <w:sz w:val="18"/>
          <w:szCs w:val="18"/>
          <w:color w:val="auto"/>
        </w:rPr>
        <w:t>” means the Credit Agreement, dated as of December 14, 2021, as subsequently amended, supplemented or otherwise modified, among Talen Energy Supply, as parent, Talen Energy Marketing and Susquehanna, as borrowers, the lenders party thereto, and Alter Domus (US) LLC, as administrative agent, which established a senior secured commodity accordion revolving credit facility. Obligations under the Prepetition CAF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Deferred Capacity Obligations</w:t>
      </w:r>
      <w:r>
        <w:rPr>
          <w:rFonts w:ascii="Times New Roman" w:cs="Times New Roman" w:eastAsia="Times New Roman" w:hAnsi="Times New Roman"/>
          <w:sz w:val="18"/>
          <w:szCs w:val="18"/>
          <w:color w:val="auto"/>
        </w:rPr>
        <w:t>” means the prepetition obligations arising under an auction specific MW transaction confirmation, executed in March 2021, between Talen and an unaffiliated third party, which involved the transfer by a Talen subsidiary to the third party of capacity rights and revenues associated with physical MW of capacity cleared under the PJM capacity auctions for planning years 2020/2021 and 2021/2022. These obligations had been fully performed as of June 2022.</w:t>
      </w:r>
    </w:p>
    <w:p>
      <w:pPr>
        <w:spacing w:after="0" w:line="122"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Guarantors</w:t>
      </w:r>
      <w:r>
        <w:rPr>
          <w:rFonts w:ascii="Times New Roman" w:cs="Times New Roman" w:eastAsia="Times New Roman" w:hAnsi="Times New Roman"/>
          <w:sz w:val="18"/>
          <w:szCs w:val="18"/>
          <w:color w:val="auto"/>
        </w:rPr>
        <w:t>” means certain wholly owned subsidiaries of Talen Energy Supply that guaranteed obligations under the Prepetition Indebtedness and the Prepetition Secured ISDAs.</w:t>
      </w:r>
    </w:p>
    <w:p>
      <w:pPr>
        <w:spacing w:after="0" w:line="10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Indebtedness</w:t>
      </w:r>
      <w:r>
        <w:rPr>
          <w:rFonts w:ascii="Times New Roman" w:cs="Times New Roman" w:eastAsia="Times New Roman" w:hAnsi="Times New Roman"/>
          <w:sz w:val="18"/>
          <w:szCs w:val="18"/>
          <w:color w:val="auto"/>
        </w:rPr>
        <w:t>” means, collectively, the Prepetition RCF, Prepetition TLB, Prepetition CAF, Prepetition Secured Notes, Prepetition Unsecured Notes and PEDFA Bonds.</w:t>
      </w:r>
    </w:p>
    <w:p>
      <w:pPr>
        <w:spacing w:after="0" w:line="10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Inventory Repurchase Obligations</w:t>
      </w:r>
      <w:r>
        <w:rPr>
          <w:rFonts w:ascii="Times New Roman" w:cs="Times New Roman" w:eastAsia="Times New Roman" w:hAnsi="Times New Roman"/>
          <w:sz w:val="18"/>
          <w:szCs w:val="18"/>
          <w:color w:val="auto"/>
        </w:rPr>
        <w:t>” means the prepetition obligations arising under a product purchase and sale agreement, executed in December 2019, pursuant to which certain Prepetition Guarantors sold coal and fuel oil to an unaffiliated third party and then repurchased that fuel on a periodic basis for generation purposes, The remaining fuel was repurchased in May 2022 in connection with the termination of the arrangement. See Note 8 in Notes to the Annual Financial Statements for additional information.</w:t>
      </w:r>
    </w:p>
    <w:p>
      <w:pPr>
        <w:spacing w:after="0" w:line="12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LCFs</w:t>
      </w:r>
      <w:r>
        <w:rPr>
          <w:rFonts w:ascii="Times New Roman" w:cs="Times New Roman" w:eastAsia="Times New Roman" w:hAnsi="Times New Roman"/>
          <w:sz w:val="18"/>
          <w:szCs w:val="18"/>
          <w:color w:val="auto"/>
        </w:rPr>
        <w:t>” means, collectively, TES’s prepetition unsecured, bilateral LC facilities (i) with Credit Suisse International, which expired in June 2023; and (ii) with Goldman Sachs Bank USA, which was terminated in May 2023. Obligations under the Prepetition LCFs were guaranteed by the Prepetition Guarantors.</w:t>
      </w:r>
    </w:p>
    <w:p>
      <w:pPr>
        <w:spacing w:after="0" w:line="117"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RCF</w:t>
      </w:r>
      <w:r>
        <w:rPr>
          <w:rFonts w:ascii="Times New Roman" w:cs="Times New Roman" w:eastAsia="Times New Roman" w:hAnsi="Times New Roman"/>
          <w:sz w:val="18"/>
          <w:szCs w:val="18"/>
          <w:color w:val="auto"/>
        </w:rPr>
        <w:t>” means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 Obligations under the Prepetition RCF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Indebtedness</w:t>
      </w:r>
      <w:r>
        <w:rPr>
          <w:rFonts w:ascii="Times New Roman" w:cs="Times New Roman" w:eastAsia="Times New Roman" w:hAnsi="Times New Roman"/>
          <w:sz w:val="18"/>
          <w:szCs w:val="18"/>
          <w:color w:val="auto"/>
        </w:rPr>
        <w:t>” means, collectively, the Prepetition RCF, Prepetition TLB, Prepetition CAF and Prepetition Secured Notes.</w:t>
      </w:r>
    </w:p>
    <w:p>
      <w:pPr>
        <w:spacing w:after="0" w:line="17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ISDAs</w:t>
      </w:r>
      <w:r>
        <w:rPr>
          <w:rFonts w:ascii="Times New Roman" w:cs="Times New Roman" w:eastAsia="Times New Roman" w:hAnsi="Times New Roman"/>
          <w:sz w:val="18"/>
          <w:szCs w:val="18"/>
          <w:color w:val="auto"/>
        </w:rPr>
        <w:t>” means certain prepetition bilateral secured ISDA and NAESB agreements of Talen Energy Marketing. Obligations under the Prepetition Secured ISDAs were secured by a first priority lien and security interest in substantially all of the assets of Talen Energy Supply and the Prepetition Guarantors.</w:t>
      </w:r>
    </w:p>
    <w:p>
      <w:pPr>
        <w:spacing w:after="0" w:line="1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Notes</w:t>
      </w:r>
      <w:r>
        <w:rPr>
          <w:rFonts w:ascii="Times New Roman" w:cs="Times New Roman" w:eastAsia="Times New Roman" w:hAnsi="Times New Roman"/>
          <w:sz w:val="18"/>
          <w:szCs w:val="18"/>
          <w:color w:val="auto"/>
        </w:rPr>
        <w:t>” means the following series of prepetition senior secured notes issued by Talen Energy Supply, which were guaranteed by the Prepetition Guarantors and secured by a first priority lien on and security interest in substantially all of the assets of Talen Energy Supply and the Prepetition Guarantors: (i) 7.25% Senior Secured Notes due 2027; (ii) 6.625% Senior Secured Notes due 2028; and (iii) 7.625% Senior Secured Notes due 2028.</w:t>
      </w:r>
    </w:p>
    <w:p>
      <w:pPr>
        <w:spacing w:after="0" w:line="12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TLB</w:t>
      </w:r>
      <w:r>
        <w:rPr>
          <w:rFonts w:ascii="Times New Roman" w:cs="Times New Roman" w:eastAsia="Times New Roman" w:hAnsi="Times New Roman"/>
          <w:sz w:val="18"/>
          <w:szCs w:val="18"/>
          <w:color w:val="auto"/>
        </w:rPr>
        <w:t>” means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 Obligations under the Prepetition TLB were guaranteed by the Prepetition Guarantors and secured by a first priority lien and security interest in substantially all of the assets of Talen Energy Supply and the Prepetition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220"/>
          </w:cols>
          <w:pgMar w:left="320" w:top="121" w:right="359" w:bottom="1440" w:gutter="0" w:footer="0" w:header="0"/>
        </w:sectPr>
      </w:pPr>
    </w:p>
    <w:bookmarkStart w:id="296" w:name="page297"/>
    <w:bookmarkEnd w:id="296"/>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Unsecured Notes</w:t>
      </w:r>
      <w:r>
        <w:rPr>
          <w:rFonts w:ascii="Times New Roman" w:cs="Times New Roman" w:eastAsia="Times New Roman" w:hAnsi="Times New Roman"/>
          <w:sz w:val="18"/>
          <w:szCs w:val="18"/>
          <w:color w:val="auto"/>
        </w:rPr>
        <w:t>” means the following series of prepetition senior unsecured notes issued by Talen Energy Supply, which were guaranteed by certain Prepetition Guarantors: (i) 4.6% Senior Notes due December 2021; (ii) 9.5% Senior Notes due July 2022; (iii) 6.5% Senior Notes due September 2024; (iv) 6.5% Senior Notes due June 2025; (v) 10.5% Senior Notes due January 2026; (vi) 7.0% Senior Notes due October 2027; and (vii)</w:t>
      </w:r>
    </w:p>
    <w:p>
      <w:pPr>
        <w:spacing w:after="0"/>
        <w:rPr>
          <w:sz w:val="20"/>
          <w:szCs w:val="20"/>
          <w:color w:val="auto"/>
        </w:rPr>
      </w:pPr>
      <w:r>
        <w:rPr>
          <w:rFonts w:ascii="Times New Roman" w:cs="Times New Roman" w:eastAsia="Times New Roman" w:hAnsi="Times New Roman"/>
          <w:sz w:val="18"/>
          <w:szCs w:val="18"/>
          <w:color w:val="auto"/>
        </w:rPr>
        <w:t>6.0% Senior Notes due December 2036.</w:t>
      </w:r>
    </w:p>
    <w:p>
      <w:pPr>
        <w:spacing w:after="0" w:line="149"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means a federal law governing liability related issues and ensuring the availability of funds for public liability claims arising from an incident at any United States licensed nuclear facility.</w:t>
      </w:r>
    </w:p>
    <w:p>
      <w:pPr>
        <w:spacing w:after="0" w:line="101"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means the Public Utility Commission of Texas, which regulates the Texas electric, telecommunication and water and sewer utilities, implements respective legislation and offers customer assistance in resolving consumer complaints.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 PCM</w:t>
      </w:r>
      <w:r>
        <w:rPr>
          <w:rFonts w:ascii="Times New Roman" w:cs="Times New Roman" w:eastAsia="Times New Roman" w:hAnsi="Times New Roman"/>
          <w:sz w:val="18"/>
          <w:szCs w:val="18"/>
          <w:color w:val="auto"/>
        </w:rPr>
        <w:t>” means the Performance Credit Mechanism, a market mechanism adopted by the PUCT in 2023.</w:t>
      </w:r>
    </w:p>
    <w:p>
      <w:pPr>
        <w:spacing w:after="0" w:line="171"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Puget Sound</w:t>
      </w:r>
      <w:r>
        <w:rPr>
          <w:rFonts w:ascii="Times New Roman" w:cs="Times New Roman" w:eastAsia="Times New Roman" w:hAnsi="Times New Roman"/>
          <w:sz w:val="18"/>
          <w:szCs w:val="18"/>
          <w:color w:val="auto"/>
        </w:rPr>
        <w:t>” means Puget Sound Energy Inc., an energy utility company based in the U.S. state of Washington that provides electrical power and natural gas to the Puget Sound region.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RACT</w:t>
      </w:r>
      <w:r>
        <w:rPr>
          <w:rFonts w:ascii="Times New Roman" w:cs="Times New Roman" w:eastAsia="Times New Roman" w:hAnsi="Times New Roman"/>
          <w:sz w:val="18"/>
          <w:szCs w:val="18"/>
          <w:color w:val="auto"/>
        </w:rPr>
        <w:t>” means Reasonably Available Control Technology, a pollution control standard.</w:t>
      </w:r>
    </w:p>
    <w:p>
      <w:pPr>
        <w:spacing w:after="0" w:line="171"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w:t>
      </w:r>
      <w:r>
        <w:rPr>
          <w:rFonts w:ascii="Times New Roman" w:cs="Times New Roman" w:eastAsia="Times New Roman" w:hAnsi="Times New Roman"/>
          <w:sz w:val="18"/>
          <w:szCs w:val="18"/>
          <w:color w:val="auto"/>
        </w:rPr>
        <w:t>” means 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 Rights Holders</w:t>
      </w:r>
      <w:r>
        <w:rPr>
          <w:rFonts w:ascii="Times New Roman" w:cs="Times New Roman" w:eastAsia="Times New Roman" w:hAnsi="Times New Roman"/>
          <w:sz w:val="18"/>
          <w:szCs w:val="18"/>
          <w:color w:val="auto"/>
        </w:rPr>
        <w:t>” means certain designated holders of TEC common stock and warrants to purchase TEC common stock that are party to the Registration Rights Agreement, and other holders of our common stock and warrants from time to time party thereto.</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May 17, 2023 between TEC and the Reg Rights Holders that, among other things, granted customary registration rights to the Reg Rights Holders and certain of their permitted transferees, including customary shelf registration rights and piggyback rights.</w:t>
      </w:r>
    </w:p>
    <w:p>
      <w:pPr>
        <w:spacing w:after="0" w:line="117"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Reliability Must Run</w:t>
      </w:r>
      <w:r>
        <w:rPr>
          <w:rFonts w:ascii="Times New Roman" w:cs="Times New Roman" w:eastAsia="Times New Roman" w:hAnsi="Times New Roman"/>
          <w:sz w:val="18"/>
          <w:szCs w:val="18"/>
          <w:color w:val="auto"/>
        </w:rPr>
        <w:t>” refers to a generating unit that is slated to be retired by its owners but is needed to be available for reasons of reliability. It is typically requested to remain operational beyond its proposed retirement date until transmission upgrades are completed. These arrangements have been used to keep certain power plants operating past their planned retirement dates in order to prevent reliability problems.</w:t>
      </w:r>
    </w:p>
    <w:p>
      <w:pPr>
        <w:spacing w:after="0" w:line="117"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voluntary cases commenced by the Debtors under Chapter 11 of the Bankruptcy Code in the Bankruptcy Court, together with the related financial restructuring of the Debtors’ existing debt, existing equity interests and certain other obligations pursuant to the Plan of Reorganization.</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PPA Incentive Equity</w:t>
      </w:r>
      <w:r>
        <w:rPr>
          <w:rFonts w:ascii="Times New Roman" w:cs="Times New Roman" w:eastAsia="Times New Roman" w:hAnsi="Times New Roman"/>
          <w:sz w:val="18"/>
          <w:szCs w:val="18"/>
          <w:color w:val="auto"/>
        </w:rPr>
        <w:t>” means the right of Riverstone, pursuant to the Plan of Reorganization and TEC Global Settlement, to receive additional TEC common stock at and after Emergence based on the prices to be paid by Cumulus Data to Talen Generation for electricity generated at Susquehanna under retail electricity supply agreements. At Emergence, TEC issued approximately 243,000 shares of TEC common stock to Riverstone in respect of the Retail PPA Incentive Equity. In addition, the Retail PPA Incentive Equity also included a right of Riverstone to receive additional TEC common stock (or, at TEC’s option, a cash payment) in the event Cumulus Data exercised an additional option to purchase power from Talen Generation. In September 2023, Riverstone waived its right to these additional amounts in exchange for a cash payment. See Note 16 in Notes to the Annual Financial Statements for additional information.</w:t>
      </w:r>
    </w:p>
    <w:p>
      <w:pPr>
        <w:spacing w:after="0" w:line="1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RGGI</w:t>
      </w:r>
      <w:r>
        <w:rPr>
          <w:rFonts w:ascii="Times New Roman" w:cs="Times New Roman" w:eastAsia="Times New Roman" w:hAnsi="Times New Roman"/>
          <w:sz w:val="18"/>
          <w:szCs w:val="18"/>
          <w:color w:val="auto"/>
        </w:rPr>
        <w:t>” means 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240"/>
          </w:cols>
          <w:pgMar w:left="320" w:top="121" w:right="339" w:bottom="1440" w:gutter="0" w:footer="0" w:header="0"/>
        </w:sectPr>
      </w:pPr>
    </w:p>
    <w:bookmarkStart w:id="297" w:name="page298"/>
    <w:bookmarkEnd w:id="297"/>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authorization for a power generation facility to emit one short ton of carbon dioxide. Allowances may be acquired by auction or through secondary markets. Pennsylvania has proposed joining this market-based program.</w:t>
      </w:r>
    </w:p>
    <w:p>
      <w:pPr>
        <w:spacing w:after="0" w:line="104"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means the equity rights offering conducted in April and May 2023 in accordance with the RSA, resulting in subscriptions to purchase $1.4 billion of TEC common stock pursuant to the Plan of Reorganization.</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Riverstone</w:t>
      </w:r>
      <w:r>
        <w:rPr>
          <w:rFonts w:ascii="Times New Roman" w:cs="Times New Roman" w:eastAsia="Times New Roman" w:hAnsi="Times New Roman"/>
          <w:sz w:val="18"/>
          <w:szCs w:val="18"/>
          <w:color w:val="auto"/>
        </w:rPr>
        <w:t>” means Riverstone Holdings LLC and certain of its affiliates.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Rosebud Mine</w:t>
      </w:r>
      <w:r>
        <w:rPr>
          <w:rFonts w:ascii="Times New Roman" w:cs="Times New Roman" w:eastAsia="Times New Roman" w:hAnsi="Times New Roman"/>
          <w:sz w:val="18"/>
          <w:szCs w:val="18"/>
          <w:color w:val="auto"/>
        </w:rPr>
        <w:t>” means a coal mine in Montana owned by Westmoreland Rosebud Mining, LLC that supplies coal to the Colstrip Units.</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the Restructuring Support Agreement (and all exhibits and schedules thereto), dated as of May 9, 2022, by and between the Debtors, certain holders of claims under the Prepetition Unsecured Notes, Prepetition CAF, Prepetition TLB and Prepetition Secured Notes, Riverstone and TEC, as subsequently amended, supplemented or otherwise modified, and any exhibits or schedules thereto.</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means Regional Transmission Organization.</w:t>
      </w:r>
    </w:p>
    <w:p>
      <w:pPr>
        <w:spacing w:after="0" w:line="17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ISDAs</w:t>
      </w:r>
      <w:r>
        <w:rPr>
          <w:rFonts w:ascii="Times New Roman" w:cs="Times New Roman" w:eastAsia="Times New Roman" w:hAnsi="Times New Roman"/>
          <w:sz w:val="18"/>
          <w:szCs w:val="18"/>
          <w:color w:val="auto"/>
        </w:rPr>
        <w:t>” means certain bilateral secured ISDA and NAESB agreements of Talen Energy Marketing. Obligations under the Secured ISDAs are secured by a first priority lien and security interest in substantially all of the assets of Talen Energy Supply and the Subsidiary Guarantors.</w:t>
      </w:r>
    </w:p>
    <w:p>
      <w:pPr>
        <w:spacing w:after="0" w:line="101"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means 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means spent nuclear fuel.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Secured Overnight Financing Rate.</w:t>
      </w:r>
    </w:p>
    <w:p>
      <w:pPr>
        <w:spacing w:after="0" w:line="171"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Spark Spread</w:t>
      </w:r>
      <w:r>
        <w:rPr>
          <w:rFonts w:ascii="Times New Roman" w:cs="Times New Roman" w:eastAsia="Times New Roman" w:hAnsi="Times New Roman"/>
          <w:sz w:val="18"/>
          <w:szCs w:val="18"/>
          <w:color w:val="auto"/>
        </w:rPr>
        <w:t>” means the measure of margin representing the difference between power price received and the cost of natural gas to produce that power.</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means the Stockholders Agreement, dated as of May 17, 2023, between TEC and the holders of TEC common stock at Emergence.</w:t>
      </w:r>
    </w:p>
    <w:p>
      <w:pPr>
        <w:spacing w:after="0" w:line="10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means the subsidiaries of TES that guarantee (i) the obligations of TES under the Credit Facilities and the Secured Notes and (ii) the obligations of Talen Energy Marketing under the Secured ISDAs.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relates to the financial position or results of operations of Talen Energy Corporation for periods after Emergence, or May 18,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w:t>
      </w:r>
      <w:r>
        <w:rPr>
          <w:rFonts w:ascii="Times New Roman" w:cs="Times New Roman" w:eastAsia="Times New Roman" w:hAnsi="Times New Roman"/>
          <w:sz w:val="18"/>
          <w:szCs w:val="18"/>
          <w:color w:val="auto"/>
        </w:rPr>
        <w:t>” means a nuclear-powered generation facility located near Berwick, Pennsylvania.</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 Nuclear</w:t>
      </w:r>
      <w:r>
        <w:rPr>
          <w:rFonts w:ascii="Times New Roman" w:cs="Times New Roman" w:eastAsia="Times New Roman" w:hAnsi="Times New Roman"/>
          <w:sz w:val="18"/>
          <w:szCs w:val="18"/>
          <w:color w:val="auto"/>
        </w:rPr>
        <w:t>” means Susquehanna Nuclear, LLC, a direct subsidiary of Talen Energy Supply. Susquehanna Nuclear operates and owns a 90% undivided interest in Susquehanna.</w:t>
      </w:r>
    </w:p>
    <w:p>
      <w:pPr>
        <w:spacing w:after="0" w:line="10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means (i)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spacing w:after="0" w:line="117"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TEC</w:t>
      </w:r>
      <w:r>
        <w:rPr>
          <w:rFonts w:ascii="Times New Roman" w:cs="Times New Roman" w:eastAsia="Times New Roman" w:hAnsi="Times New Roman"/>
          <w:sz w:val="18"/>
          <w:szCs w:val="18"/>
          <w:color w:val="auto"/>
        </w:rPr>
        <w:t>” means Talen Energy Corporation, the parent company of Talen Energy Supply,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60"/>
          </w:cols>
          <w:pgMar w:left="320" w:top="121" w:right="419" w:bottom="1440" w:gutter="0" w:footer="0" w:header="0"/>
        </w:sectPr>
      </w:pPr>
    </w:p>
    <w:bookmarkStart w:id="298" w:name="page299"/>
    <w:bookmarkEnd w:id="298"/>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Marketing</w:t>
      </w:r>
      <w:r>
        <w:rPr>
          <w:rFonts w:ascii="Times New Roman" w:cs="Times New Roman" w:eastAsia="Times New Roman" w:hAnsi="Times New Roman"/>
          <w:sz w:val="18"/>
          <w:szCs w:val="18"/>
          <w:color w:val="auto"/>
        </w:rPr>
        <w:t>” means Talen Energy Marketing, LLC, a direct subsidiary of Talen Energy Supply that provides energy management services to Talen-owned and operated generation facilities and engages in wholesale commodity marketing activities.</w:t>
      </w:r>
    </w:p>
    <w:p>
      <w:pPr>
        <w:spacing w:after="0" w:line="10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Supply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TES</w:t>
      </w:r>
      <w:r>
        <w:rPr>
          <w:rFonts w:ascii="Times New Roman" w:cs="Times New Roman" w:eastAsia="Times New Roman" w:hAnsi="Times New Roman"/>
          <w:sz w:val="18"/>
          <w:szCs w:val="18"/>
          <w:color w:val="auto"/>
        </w:rPr>
        <w:t>” means Talen Energy Supply, LLC, a direct subsidiary of Talen Energy Corporation that, thorough subsidiaries, indirectly holds all of Talen’s assets and operations.</w:t>
      </w:r>
    </w:p>
    <w:p>
      <w:pPr>
        <w:spacing w:after="0" w:line="101" w:lineRule="exact"/>
        <w:rPr>
          <w:sz w:val="20"/>
          <w:szCs w:val="20"/>
          <w:color w:val="auto"/>
        </w:rPr>
      </w:pPr>
    </w:p>
    <w:p>
      <w:pPr>
        <w:jc w:val="both"/>
        <w:ind w:right="46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Talen Generation</w:t>
      </w:r>
      <w:r>
        <w:rPr>
          <w:rFonts w:ascii="Times New Roman" w:cs="Times New Roman" w:eastAsia="Times New Roman" w:hAnsi="Times New Roman"/>
          <w:sz w:val="17"/>
          <w:szCs w:val="17"/>
          <w:color w:val="auto"/>
        </w:rPr>
        <w:t>” means Talen Generation, LLC, a direct subsidiary of Talen Energy Supply that, through its subsidiaries, owns and operates generation facilities, and holds interests in other jointly owned, third-party operated generation facilities, in Pennsylvania, New Jersey and Maryland.</w:t>
      </w:r>
    </w:p>
    <w:p>
      <w:pPr>
        <w:spacing w:after="0" w:line="78"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Montana</w:t>
      </w:r>
      <w:r>
        <w:rPr>
          <w:rFonts w:ascii="Times New Roman" w:cs="Times New Roman" w:eastAsia="Times New Roman" w:hAnsi="Times New Roman"/>
          <w:sz w:val="18"/>
          <w:szCs w:val="18"/>
          <w:color w:val="auto"/>
        </w:rPr>
        <w:t>” means Talen Montana, LLC, a direct subsidiary of Talen Montana Holdings, LLC that operates the Colstrip Units and owns an undivided interest in Colstrip Unit 3 and is party to a contractual economic sharing agreement for Colstrip Units 3 and 4.</w:t>
      </w:r>
    </w:p>
    <w:p>
      <w:pPr>
        <w:spacing w:after="0" w:line="10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 Global Settlement</w:t>
      </w:r>
      <w:r>
        <w:rPr>
          <w:rFonts w:ascii="Times New Roman" w:cs="Times New Roman" w:eastAsia="Times New Roman" w:hAnsi="Times New Roman"/>
          <w:sz w:val="18"/>
          <w:szCs w:val="18"/>
          <w:color w:val="auto"/>
        </w:rPr>
        <w:t>” means the settlement of all claims, interests and controversies among the Debtors, Riverstone, TEC and certain other creditors in the Restructuring, the terms of which are set out in the fifth amendment to the RSA and the attachments thereto.</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TeraWulf</w:t>
      </w:r>
      <w:r>
        <w:rPr>
          <w:rFonts w:ascii="Times New Roman" w:cs="Times New Roman" w:eastAsia="Times New Roman" w:hAnsi="Times New Roman"/>
          <w:sz w:val="18"/>
          <w:szCs w:val="18"/>
          <w:color w:val="auto"/>
        </w:rPr>
        <w:t>” means TeraWulf Inc. and its affiliates.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TLB and the TLC.</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TERP</w:t>
      </w:r>
      <w:r>
        <w:rPr>
          <w:rFonts w:ascii="Times New Roman" w:cs="Times New Roman" w:eastAsia="Times New Roman" w:hAnsi="Times New Roman"/>
          <w:sz w:val="18"/>
          <w:szCs w:val="18"/>
          <w:color w:val="auto"/>
        </w:rPr>
        <w:t>” means the Talen Energy Retirement Plan, which is Talen’s principal defined-benefit pension plan.</w:t>
      </w:r>
    </w:p>
    <w:p>
      <w:pPr>
        <w:spacing w:after="0" w:line="171"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TLB</w:t>
      </w:r>
      <w:r>
        <w:rPr>
          <w:rFonts w:ascii="Times New Roman" w:cs="Times New Roman" w:eastAsia="Times New Roman" w:hAnsi="Times New Roman"/>
          <w:sz w:val="18"/>
          <w:szCs w:val="18"/>
          <w:color w:val="auto"/>
        </w:rPr>
        <w:t>” means 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w:t>
      </w:r>
      <w:r>
        <w:rPr>
          <w:rFonts w:ascii="Times New Roman" w:cs="Times New Roman" w:eastAsia="Times New Roman" w:hAnsi="Times New Roman"/>
          <w:sz w:val="18"/>
          <w:szCs w:val="18"/>
          <w:color w:val="auto"/>
        </w:rPr>
        <w:t>” means 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TES and the Subsidiary Guarantors.</w:t>
      </w:r>
    </w:p>
    <w:p>
      <w:pPr>
        <w:spacing w:after="0" w:line="122"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 LCF</w:t>
      </w:r>
      <w:r>
        <w:rPr>
          <w:rFonts w:ascii="Times New Roman" w:cs="Times New Roman" w:eastAsia="Times New Roman" w:hAnsi="Times New Roman"/>
          <w:sz w:val="18"/>
          <w:szCs w:val="18"/>
          <w:color w:val="auto"/>
        </w:rPr>
        <w:t>” means the $470 term letter of credit facility established under the Credit Agreement. The TLC LCF is cash collateralized with the proceeds of the TLC, and commitments thereunder are reduced to the extent that borrowings under the TLC are prepaid.</w:t>
      </w:r>
    </w:p>
    <w:p>
      <w:pPr>
        <w:spacing w:after="0" w:line="101"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TRF</w:t>
      </w:r>
      <w:r>
        <w:rPr>
          <w:rFonts w:ascii="Times New Roman" w:cs="Times New Roman" w:eastAsia="Times New Roman" w:hAnsi="Times New Roman"/>
          <w:sz w:val="18"/>
          <w:szCs w:val="18"/>
          <w:color w:val="auto"/>
        </w:rPr>
        <w:t>” means Talen Receivables Funding, LLC, a direct subsidiary of Talen Energy Marketing that, prior to the Restructuring, purchased certain receivables from Talen Energy Marketing and sold them to an unaffiliated financial institution. That agreement was terminated during the second quarter 2022 as a result of the Restructuring. In November 2023, TRF was merged with and into Talen Energy Marketing.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UMWA</w:t>
      </w:r>
      <w:r>
        <w:rPr>
          <w:rFonts w:ascii="Times New Roman" w:cs="Times New Roman" w:eastAsia="Times New Roman" w:hAnsi="Times New Roman"/>
          <w:sz w:val="18"/>
          <w:szCs w:val="18"/>
          <w:color w:val="auto"/>
        </w:rPr>
        <w:t>” means United Mine Workers of America.</w:t>
      </w:r>
    </w:p>
    <w:p>
      <w:pPr>
        <w:spacing w:after="0" w:line="171"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VEBA</w:t>
      </w:r>
      <w:r>
        <w:rPr>
          <w:rFonts w:ascii="Times New Roman" w:cs="Times New Roman" w:eastAsia="Times New Roman" w:hAnsi="Times New Roman"/>
          <w:sz w:val="18"/>
          <w:szCs w:val="18"/>
          <w:color w:val="auto"/>
        </w:rPr>
        <w:t>” means Voluntary Employee Benefit Association, a trust vehicle holding assets dedicated to payment of benefits under designated health and welfare plans (or successor plans) for future benefit payments to employees, retirees or their beneficiaries.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means variable interest entity.</w:t>
      </w:r>
    </w:p>
    <w:p>
      <w:pPr>
        <w:spacing w:after="0" w:line="17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WECC</w:t>
      </w:r>
      <w:r>
        <w:rPr>
          <w:rFonts w:ascii="Times New Roman" w:cs="Times New Roman" w:eastAsia="Times New Roman" w:hAnsi="Times New Roman"/>
          <w:sz w:val="18"/>
          <w:szCs w:val="18"/>
          <w:color w:val="auto"/>
        </w:rPr>
        <w:t>” means 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200"/>
          </w:cols>
          <w:pgMar w:left="320" w:top="121" w:right="379" w:bottom="1440" w:gutter="0" w:footer="0" w:header="0"/>
        </w:sectPr>
      </w:pPr>
    </w:p>
    <w:bookmarkStart w:id="299" w:name="page300"/>
    <w:bookmarkEnd w:id="299"/>
    <w:p>
      <w:pPr>
        <w:jc w:val="center"/>
        <w:ind w:right="-5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Winter Storm Elliott</w:t>
      </w:r>
      <w:r>
        <w:rPr>
          <w:rFonts w:ascii="Times New Roman" w:cs="Times New Roman" w:eastAsia="Times New Roman" w:hAnsi="Times New Roman"/>
          <w:sz w:val="17"/>
          <w:szCs w:val="17"/>
          <w:color w:val="auto"/>
        </w:rPr>
        <w:t>” means an extra-tropical cyclone that occurred in December 2022 that created a storm of snow, rain and wind across the country. The winter cyclone had widespread impacts across the United States and caused PJM to declare a Maximum Generation Emergency Action.</w:t>
      </w:r>
    </w:p>
    <w:p>
      <w:pPr>
        <w:spacing w:after="0" w:line="78"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Uri</w:t>
      </w:r>
      <w:r>
        <w:rPr>
          <w:rFonts w:ascii="Times New Roman" w:cs="Times New Roman" w:eastAsia="Times New Roman" w:hAnsi="Times New Roman"/>
          <w:sz w:val="18"/>
          <w:szCs w:val="18"/>
          <w:color w:val="auto"/>
        </w:rPr>
        <w:t>” means a major winter and ice storm that occurred in February 2021 that had widespread impacts across the United States, including systemic energy market disruptions and price volatility throughout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0740"/>
          </w:cols>
          <w:pgMar w:left="320" w:top="121" w:right="8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7"/>
          <w:szCs w:val="17"/>
          <w:color w:val="auto"/>
        </w:rPr>
        <w:t>Confidential Treatment Requested by Talen Energy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PAGE HAS INTENTIONALLY BEEN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9019"/>
          </w:cols>
          <w:pgMar w:left="1440" w:top="121" w:right="1440"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this registration statement and the listing of our common stock, all of which will be paid by us. All amounts are estimated except the SEC registration fee and the exchange listing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560" w:type="dxa"/>
            <w:vAlign w:val="bottom"/>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listing fee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advisors’ fees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360" w:hanging="332"/>
        <w:spacing w:after="0" w:line="278" w:lineRule="auto"/>
        <w:tabs>
          <w:tab w:leader="none" w:pos="331"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of any offerings under this registration statement are not presently known. To the extent required, any applicable prospectus supplement will set forth the estimated aggregate amount of expenses payable in respect of any offering of securities under the registration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Charter permits indemnification of our directors and officers to the maximum extent permitted by the DGCL, and our Bylaws provide that we will indemnify our directors and officers and permit us to indemnify our employees and other agents, in each case to the maximum extent permitted by the DGCL.</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or officer of ours, provided that such director or officer acted in good faith, in a manner that the director or officer reasonably believed to be in, or not opposed to, our best interest, and with respect to any criminal proceeding, had no reasonable cause to believe their conduct was unlawful.</w:t>
      </w:r>
    </w:p>
    <w:p>
      <w:pPr>
        <w:spacing w:after="0" w:line="1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indemnification provisions in our Charter,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21" w:right="339" w:bottom="1440" w:gutter="0" w:footer="0" w:header="0"/>
        </w:sectPr>
      </w:pPr>
    </w:p>
    <w:bookmarkStart w:id="302" w:name="page303"/>
    <w:bookmarkEnd w:id="302"/>
    <w:p>
      <w:pPr>
        <w:jc w:val="center"/>
        <w:ind w:right="-1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380" w:firstLine="324"/>
        <w:spacing w:after="0" w:line="312" w:lineRule="auto"/>
        <w:rPr>
          <w:sz w:val="20"/>
          <w:szCs w:val="20"/>
          <w:color w:val="auto"/>
        </w:rPr>
      </w:pPr>
      <w:r>
        <w:rPr>
          <w:rFonts w:ascii="Times New Roman" w:cs="Times New Roman" w:eastAsia="Times New Roman" w:hAnsi="Times New Roman"/>
          <w:sz w:val="17"/>
          <w:szCs w:val="17"/>
          <w:color w:val="auto"/>
        </w:rPr>
        <w:t>At Emergence, and in reliance on the exemption from registration provided in Section 1145 of the Bankruptcy Code, 4,757,642 shares of common stock were issued to the holders of claims under TES’s Prepetition Unsecured Notes and PEDFA 2009A Bonds in satisfaction of such claims.</w:t>
      </w:r>
    </w:p>
    <w:p>
      <w:pPr>
        <w:spacing w:after="0" w:line="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Emergence, Riverstone and Talen MidCo LLC and certain of their respective designees received 833,701 shares of common stock issued in reliance on the exemption from registration provided by Section 4(a)(2) of the Securities Act in connection with the settlement of certain claims.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Backstopped Equity Rights Offering</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Emergence, in April 2023, the Company commenced the Rights Offering. Pursuant to the Rights Offering, TEC offered holders of claims under TES’s Prepetition Unsecured Notes and PEDFA 2009A Bonds the right to purchase common stock of the reorganized, post-Emergence Company, for an aggregate purchase price of $1.4 billion. Such Rights Offering was backstopped by certain of the Consenting Noteholders that held claims under TES’s Prepetition Unsecured Notes and PEDFA 2009A Bonds.</w:t>
      </w:r>
    </w:p>
    <w:p>
      <w:pPr>
        <w:spacing w:after="0" w:line="12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Rights Offering, (i) the Company issued 43,750,000 shares of common stock at a purchase price of $32.00 per share to participating holders for an aggregate purchase price of approximately $1.4 billion, of which (a) 690,813 shares of common stock were issued in reliance on the exemption from registration provided in Section 1145 of the Bankruptcy Code and (b) 43,059,187 shares of common stock were issued in reliance on the exemption from registration provided by Section 4(a)(2) of the Securities Act and (ii) the Company issued 9,687,500 shares of common stock, comprising of shares issuable as part of the fee payable to the Backstop Parties, in reliance on the exemption from registration provided in Section 1145 of the Bankruptcy Code.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At Emergence, certain affiliates of Riverstone received warrants to purchase up to 5.00%, or 3,106,781 shares, of common stock, with (i) a tenor of five years, (ii) a strike price of $52.92, subject to adjustment in certain circumstances, and (iii) Black-Scholes protection in the event of certain change of control transactions, the terms of which are set forth in the those certain Warrant Certificates No. 1-3, dated May 17, 2023, issued by TEC. The warrants were issued in reliance on the exemption from registration provided by Section 4(a)(2) of the Securities Act in connection with the settlement of certain claims. In connection with the consummation of the Riverstone Buyout, such warrants were surrendered and cancelled in exchange for a $40 million cash payment by TES.</w:t>
      </w:r>
    </w:p>
    <w:p>
      <w:pPr>
        <w:spacing w:after="0" w:line="13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Pursuant to that certain Employment Agreement, dated December 12, 2022, by and between Talen Energy Supply, LLC and Leonard LoBiondo, at Emergence Mr. LoBiondo acquired warrants to purchase up to 457,142 shares common stock with a tenor of three years and a strike price of at a strike price of $43.75, subject to adjustment in certain circumstances, the terms of which are set forth in the that certain Warrant Certificate No. L-1, dated May 17, 2023, issued by TEC. Such warrants were issued in reliance on the exemption from registration provided by Section 4(a)(2) of the Securities Act.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May 12, 2023, TES issued $1.2 billion aggregate principal amount of the Secured Notes in reliance on the exemptions from registration provided by Section 4(a)(2) of the Securities Act and resold pursuant to Rule 144A and Regulation S under the Securities Act. The offering of the Secured Notes was part of the series Exit Financings undertaken in connection with the Restructuring and was used to fund the distributions provided for under the Plan of Reorganization, including the repayment of claims under certain of the Debtors’ pre-petition indebtedness, and to pay certain fees, commissions and expenses relating to the foregoing and Emergence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21"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Talen Energy Corporation.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Talen Energy Corporation.</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Registration Rights Agreement, dated as of May 17, 2023, by and among Talen Energy Corporation and the undersigned holders party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Agreement, dated as of May 17, 2023, by and among Talen Energy Corporation and the parties identified therein.</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Certificate No. L-1, dated May 17, 2023, issued by Talen Energy Corporation to Leonard LoBiondo.</w:t>
            </w:r>
          </w:p>
        </w:tc>
      </w:tr>
      <w:tr>
        <w:trPr>
          <w:trHeight w:val="22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Credit Agreement, dated May 17, 2023, by and among Talen Energy Supply, LLC, the lending institutions from time to time parties</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thereto, Citibank, N.A., as administrative agent and collateral agent, and Citibank, N.A., BMO Capital Markets Corp., Deutsche Bank</w:t>
            </w:r>
          </w:p>
        </w:tc>
      </w:tr>
      <w:tr>
        <w:trPr>
          <w:trHeight w:val="180"/>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Securities Inc., Goldman Sachs Bank USA, RBC Capital Markets, LLC, MUFG Bank, Ltd., Credit Suisse Loan Funding LLC and</w:t>
            </w:r>
          </w:p>
        </w:tc>
      </w:tr>
      <w:tr>
        <w:trPr>
          <w:trHeight w:val="225"/>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Stanley Senior Funding, Inc., as joint lead arrangers and joint bookrunners.</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1 to Credit Agreement, dated as of August 9, 2023, by and among Talen Energy Supply, LLC, as borrower, the</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guarantors party thereto, the persons identified on the signature pages thereto as a 2023-1 Incremental Term B Lender and</w:t>
            </w:r>
          </w:p>
        </w:tc>
      </w:tr>
      <w:tr>
        <w:trPr>
          <w:trHeight w:val="23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Citibank N.A., as administrative agent and as collateral agent.</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Amendment No. 2 and Waiver to Credit Agreement, dated as of May 8, 2024, by and among Talen Energy Supply, LLC, as borrower,</w:t>
            </w:r>
          </w:p>
        </w:tc>
      </w:tr>
      <w:tr>
        <w:trPr>
          <w:trHeight w:val="184"/>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 and Citibank N.A., as administrative agent, collateral agent and</w:t>
            </w:r>
          </w:p>
        </w:tc>
      </w:tr>
      <w:tr>
        <w:trPr>
          <w:trHeight w:val="229"/>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lender.</w:t>
            </w:r>
          </w:p>
        </w:tc>
      </w:tr>
      <w:tr>
        <w:trPr>
          <w:trHeight w:val="180"/>
        </w:trPr>
        <w:tc>
          <w:tcPr>
            <w:tcW w:w="14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Letter of Credit Facility Agreement, dated May 17, 2023, by and among Talen Energy Supply, LLC, Barclays Bank PLC, as L/C Issuer</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Citibank, N.A., as Collateral Agent.</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12, 2023, between Talen Energy Supply, LLC and Wilmington Savings Fund Society, FSB, as trustee.</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First Supplemental Indenture, dated as of May 17, 2023, by and among the subsidiary guarantors listed therein, Talen Energy Supply,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the other subsidiary guarantors and Wilmington Savings Fund Society, FSB, as trustee under the Indenture.</w:t>
            </w: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Second Supplemental Indenture, dated as of October 6, 2023, by and among the subsidiary guarantors listed therein, Talen Energy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LLC and Wilmington Savings Fund Society, FSB, as trustee under the Indenture.</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Equity Incentive Plan of Talen Energy Corporation, effective as of May 17, 2023.</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Talen Energy Corporation Restricted Stock Unit Award Notice and Award Agreement, dated June 16, 2023, by and between Talen</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Corporation and Mark A. McFarland.</w:t>
            </w: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6"/>
                <w:szCs w:val="16"/>
                <w:color w:val="auto"/>
              </w:rPr>
            </w:pPr>
          </w:p>
        </w:tc>
        <w:tc>
          <w:tcPr>
            <w:tcW w:w="9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Talen Energy Corporation Performance-Based Restricted Stock Unit Award Notice and Award Agreement, dated June 16, 2023, by</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between Talen Energy Corporation and Mark A. McFarland.</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(Executive Form).</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Performance-Based Restricted Stock Unit Award Notice and Award Agreement (Executive Form).</w:t>
            </w:r>
          </w:p>
        </w:tc>
      </w:tr>
      <w:tr>
        <w:trPr>
          <w:trHeight w:val="180"/>
        </w:trPr>
        <w:tc>
          <w:tcPr>
            <w:tcW w:w="1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5"/>
                <w:szCs w:val="15"/>
                <w:color w:val="auto"/>
              </w:rPr>
            </w:pPr>
          </w:p>
        </w:tc>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 of Talen Energy Corporation Performance-Based Restricted Stock Unit Award Notice and Award Agreement (Non-Executive</w:t>
            </w: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Form).</w:t>
            </w:r>
          </w:p>
        </w:tc>
      </w:tr>
      <w:tr>
        <w:trPr>
          <w:trHeight w:val="2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Talen Energy Corporation Restricted Stock Unit Award Notice and Award Agreement (Non-Employee Director Form).</w:t>
            </w: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May 17, 2023, by and between Talen Energy Corporation and Mark A. McFarland.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21" w:right="339" w:bottom="1440" w:gutter="0" w:footer="0" w:header="0"/>
        </w:sectPr>
      </w:pPr>
    </w:p>
    <w:bookmarkStart w:id="304" w:name="page305"/>
    <w:bookmarkEnd w:id="304"/>
    <w:p>
      <w:pPr>
        <w:jc w:val="center"/>
        <w:ind w:right="-7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effective as of July 10, 2023, by and between Talen Energy Corporation and Terry Nutt.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John Wander.</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19, 2023, by and between Talen Energy Corporation and Andrew Wright.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Brad Berryman.</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June 26, 2023, by and between Talen Energy Corporation and Dale Lebsack.</w:t>
            </w:r>
          </w:p>
        </w:tc>
      </w:tr>
      <w:tr>
        <w:trPr>
          <w:trHeight w:val="180"/>
        </w:trPr>
        <w:tc>
          <w:tcPr>
            <w:tcW w:w="1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10.22#+*</w:t>
            </w:r>
          </w:p>
        </w:tc>
        <w:tc>
          <w:tcPr>
            <w:tcW w:w="986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w w:val="99"/>
              </w:rPr>
              <w:t>Separation Agreement and General Release of Claims, effective as of May 17, 2023, by and between Talen Energy Corporation and</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Alejandro Hernandez.</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10.23#+*</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Separation Agreement and General Release of Claims, effective as of July 7, 2023, by and between Talen Energy Corporation and</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John Chesser.</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10.24†#*</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Purchase Agreement, dated March 1, 2024, by and between Cumulus Data LLC, Cumulus Real Estate Holdings LLC and Amazon</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Data Services, Inc.</w:t>
            </w:r>
          </w:p>
        </w:tc>
      </w:tr>
      <w:tr>
        <w:trPr>
          <w:trHeight w:val="184"/>
        </w:trPr>
        <w:tc>
          <w:tcPr>
            <w:tcW w:w="1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10.25†#*</w:t>
            </w:r>
          </w:p>
        </w:tc>
        <w:tc>
          <w:tcPr>
            <w:tcW w:w="986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9"/>
              </w:rPr>
              <w:t>Purchase and Sale Agreement, dated March 26, 2024, by and among Talen Energy Supply, LLC, Talen Texas, LLC and The City of</w:t>
            </w:r>
          </w:p>
        </w:tc>
      </w:tr>
      <w:tr>
        <w:trPr>
          <w:trHeight w:val="234"/>
        </w:trPr>
        <w:tc>
          <w:tcPr>
            <w:tcW w:w="1080" w:type="dxa"/>
            <w:vAlign w:val="bottom"/>
          </w:tcPr>
          <w:p>
            <w:pPr>
              <w:spacing w:after="0"/>
              <w:rPr>
                <w:sz w:val="20"/>
                <w:szCs w:val="20"/>
                <w:color w:val="auto"/>
              </w:rPr>
            </w:pP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San Antonio, Texas, acting by and through its City Public Service Board.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List of subsidiaries of Talen Energy Corporation.</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PricewaterhouseCoopers LLC, independent registered public accounting firm.</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11" w:lineRule="exact"/>
        <w:rPr>
          <w:sz w:val="20"/>
          <w:szCs w:val="20"/>
          <w:color w:val="auto"/>
        </w:rPr>
      </w:pPr>
    </w:p>
    <w:p>
      <w:pPr>
        <w:ind w:left="340" w:right="120" w:hanging="332"/>
        <w:spacing w:after="0" w:line="261" w:lineRule="auto"/>
        <w:tabs>
          <w:tab w:leader="none" w:pos="331"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exhibits to the agreement have been omitted pursuant to Item 601(a)(5) of Regulation S-K. A copy of any omitted schedule or exhibit will be furnished to the SEC upon request.</w:t>
      </w:r>
    </w:p>
    <w:p>
      <w:pPr>
        <w:spacing w:after="0" w:line="1" w:lineRule="exact"/>
        <w:rPr>
          <w:sz w:val="20"/>
          <w:szCs w:val="20"/>
          <w:color w:val="auto"/>
        </w:rPr>
      </w:pPr>
    </w:p>
    <w:p>
      <w:pPr>
        <w:ind w:left="320" w:hanging="312"/>
        <w:spacing w:after="0"/>
        <w:tabs>
          <w:tab w:leader="none" w:pos="3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5" w:lineRule="exact"/>
        <w:rPr>
          <w:sz w:val="20"/>
          <w:szCs w:val="20"/>
          <w:color w:val="auto"/>
        </w:rPr>
      </w:pPr>
    </w:p>
    <w:p>
      <w:pPr>
        <w:ind w:left="340" w:hanging="332"/>
        <w:spacing w:after="0" w:line="263" w:lineRule="auto"/>
        <w:tabs>
          <w:tab w:leader="none" w:pos="331"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private and immaterial portions of the agreement have been redacted pursuant to Item 601(b)(10)(iv) of Regulation S-K. A copy of any redacted information will be furnished to the SEC upon request.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7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980" w:hanging="324"/>
        <w:spacing w:after="0" w:line="255" w:lineRule="auto"/>
        <w:tabs>
          <w:tab w:leader="none" w:pos="97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60"/>
          </w:cols>
          <w:pgMar w:left="320" w:top="121" w:right="419" w:bottom="1440" w:gutter="0" w:footer="0" w:header="0"/>
        </w:sectPr>
      </w:pPr>
    </w:p>
    <w:bookmarkStart w:id="305" w:name="page306"/>
    <w:bookmarkEnd w:id="305"/>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right="480" w:hanging="324"/>
        <w:spacing w:after="0" w:line="282" w:lineRule="auto"/>
        <w:tabs>
          <w:tab w:leader="none" w:pos="9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21" w:right="37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the City of Houston, State of Texas, on</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2024.</w:t>
            </w:r>
          </w:p>
        </w:tc>
        <w:tc>
          <w:tcPr>
            <w:tcW w:w="4100" w:type="dxa"/>
            <w:vAlign w:val="bottom"/>
          </w:tcPr>
          <w:p>
            <w:pPr>
              <w:spacing w:after="0"/>
              <w:rPr>
                <w:sz w:val="20"/>
                <w:szCs w:val="20"/>
                <w:color w:val="auto"/>
              </w:rPr>
            </w:pPr>
          </w:p>
        </w:tc>
      </w:tr>
      <w:tr>
        <w:trPr>
          <w:trHeight w:val="400"/>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r>
      <w:tr>
        <w:trPr>
          <w:trHeight w:val="499"/>
        </w:trPr>
        <w:tc>
          <w:tcPr>
            <w:tcW w:w="6120" w:type="dxa"/>
            <w:vAlign w:val="bottom"/>
          </w:tcPr>
          <w:p>
            <w:pPr>
              <w:spacing w:after="0"/>
              <w:rPr>
                <w:sz w:val="24"/>
                <w:szCs w:val="24"/>
                <w:color w:val="auto"/>
              </w:rPr>
            </w:pPr>
          </w:p>
        </w:tc>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18"/>
        </w:trPr>
        <w:tc>
          <w:tcPr>
            <w:tcW w:w="6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A. McFarland</w:t>
            </w:r>
          </w:p>
        </w:tc>
      </w:tr>
      <w:tr>
        <w:trPr>
          <w:trHeight w:val="234"/>
        </w:trPr>
        <w:tc>
          <w:tcPr>
            <w:tcW w:w="6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21" w:right="339" w:bottom="1440" w:gutter="0" w:footer="0" w:header="0"/>
        </w:sectPr>
      </w:pPr>
    </w:p>
    <w:bookmarkStart w:id="307" w:name="page308"/>
    <w:bookmarkEnd w:id="307"/>
    <w:p>
      <w:pPr>
        <w:jc w:val="center"/>
        <w:ind w:right="-39"/>
        <w:spacing w:after="0"/>
        <w:rPr>
          <w:sz w:val="20"/>
          <w:szCs w:val="20"/>
          <w:color w:val="auto"/>
        </w:rPr>
      </w:pPr>
      <w:r>
        <w:rPr>
          <w:rFonts w:ascii="Times New Roman" w:cs="Times New Roman" w:eastAsia="Times New Roman" w:hAnsi="Times New Roman"/>
          <w:sz w:val="18"/>
          <w:szCs w:val="18"/>
          <w:color w:val="auto"/>
        </w:rPr>
        <w:t>Confidential Treatment Requested by Talen Energy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21" w:right="359" w:bottom="1440" w:gutter="0" w:footer="0" w:header="0"/>
        </w:sectPr>
      </w:pPr>
    </w:p>
    <w:p>
      <w:pPr>
        <w:spacing w:after="0" w:line="15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25800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25800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Terry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Tony Plagens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Stephen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Gizman Abbas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Anthony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Karen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Joseph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5800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Christine Benson Schwartzstein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196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41910</wp:posOffset>
            </wp:positionV>
            <wp:extent cx="44919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07"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Chief Executive Officer and Director (</w:t>
      </w:r>
      <w:r>
        <w:rPr>
          <w:rFonts w:ascii="Times New Roman" w:cs="Times New Roman" w:eastAsia="Times New Roman" w:hAnsi="Times New Roman"/>
          <w:sz w:val="17"/>
          <w:szCs w:val="17"/>
          <w:i w:val="1"/>
          <w:iCs w:val="1"/>
          <w:color w:val="auto"/>
        </w:rPr>
        <w:t>Principal Executive</w:t>
      </w:r>
    </w:p>
    <w:p>
      <w:pPr>
        <w:spacing w:after="0" w:line="41"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Accounting Officer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309" w:lineRule="exact"/>
        <w:rPr>
          <w:sz w:val="20"/>
          <w:szCs w:val="20"/>
          <w:color w:val="auto"/>
        </w:rPr>
      </w:pPr>
    </w:p>
    <w:p>
      <w:pPr>
        <w:sectPr>
          <w:pgSz w:w="11900" w:h="16838" w:orient="portrait"/>
          <w:cols w:equalWidth="0" w:num="2">
            <w:col w:w="3640" w:space="720"/>
            <w:col w:w="68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sectPr>
      <w:pgSz w:w="11900" w:h="16838" w:orient="portrait"/>
      <w:cols w:equalWidth="0" w:num="1">
        <w:col w:w="11220"/>
      </w:cols>
      <w:pgMar w:left="320" w:top="1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1"/>
    </w:lvl>
  </w:abstractNum>
  <w:abstractNum w:abstractNumId="1">
    <w:nsid w:val="5675FF36"/>
    <w:multiLevelType w:val="hybridMultilevel"/>
    <w:lvl w:ilvl="0">
      <w:lvlJc w:val="left"/>
      <w:lvlText w:val="%1."/>
      <w:numFmt w:val="decimal"/>
      <w:start w:val="3"/>
    </w:lvl>
  </w:abstractNum>
  <w:abstractNum w:abstractNumId="2">
    <w:nsid w:val="3DD15094"/>
    <w:multiLevelType w:val="hybridMultilevel"/>
    <w:lvl w:ilvl="0">
      <w:lvlJc w:val="left"/>
      <w:lvlText w:val="(%1)"/>
      <w:numFmt w:val="lowerRoman"/>
      <w:start w:val="2"/>
    </w:lvl>
  </w:abstractNum>
  <w:abstractNum w:abstractNumId="3">
    <w:nsid w:val="3DB012B3"/>
    <w:multiLevelType w:val="hybridMultilevel"/>
    <w:lvl w:ilvl="0">
      <w:lvlJc w:val="left"/>
      <w:lvlText w:val="(%1)"/>
      <w:numFmt w:val="decimal"/>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1)"/>
      <w:numFmt w:val="lowerRoman"/>
      <w:start w:val="13"/>
    </w:lvl>
  </w:abstractNum>
  <w:abstractNum w:abstractNumId="12">
    <w:nsid w:val="519E3149"/>
    <w:multiLevelType w:val="hybridMultilevel"/>
    <w:lvl w:ilvl="0">
      <w:lvlJc w:val="left"/>
      <w:lvlText w:val="(%1)"/>
      <w:numFmt w:val="lowerLetter"/>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lvl w:ilvl="1">
      <w:lvlJc w:val="left"/>
      <w:lvlText w:val="◦"/>
      <w:numFmt w:val="bullet"/>
      <w:start w:val="1"/>
    </w:lvl>
  </w:abstractNum>
  <w:abstractNum w:abstractNumId="21">
    <w:nsid w:val="75E0858A"/>
    <w:multiLevelType w:val="hybridMultilevel"/>
    <w:lvl w:ilvl="0">
      <w:lvlJc w:val="left"/>
      <w:lvlText w:val="•"/>
      <w:numFmt w:val="bullet"/>
      <w:start w:val="1"/>
    </w:lvl>
    <w:lvl w:ilvl="1">
      <w:lvlJc w:val="left"/>
      <w:lvlText w:val="◦"/>
      <w:numFmt w:val="bullet"/>
      <w:start w:val="1"/>
    </w:lvl>
  </w:abstractNum>
  <w:abstractNum w:abstractNumId="22">
    <w:nsid w:val="57A61A29"/>
    <w:multiLevelType w:val="hybridMultilevel"/>
    <w:lvl w:ilvl="0">
      <w:lvlJc w:val="left"/>
      <w:lvlText w:val="(%1)"/>
      <w:numFmt w:val="lowerRoman"/>
      <w:start w:val="1"/>
    </w:lvl>
  </w:abstractNum>
  <w:abstractNum w:abstractNumId="23">
    <w:nsid w:val="5399C654"/>
    <w:multiLevelType w:val="hybridMultilevel"/>
    <w:lvl w:ilvl="0">
      <w:lvlJc w:val="left"/>
      <w:lvlText w:val="(%1)"/>
      <w:numFmt w:val="lowerLetter"/>
      <w:start w:val="1"/>
    </w:lvl>
  </w:abstractNum>
  <w:abstractNum w:abstractNumId="24">
    <w:nsid w:val="20EE1348"/>
    <w:multiLevelType w:val="hybridMultilevel"/>
    <w:lvl w:ilvl="0">
      <w:lvlJc w:val="left"/>
      <w:lvlText w:val="(%1)"/>
      <w:numFmt w:val="lowerLetter"/>
      <w:start w:val="3"/>
    </w:lvl>
  </w:abstractNum>
  <w:abstractNum w:abstractNumId="25">
    <w:nsid w:val="4427069A"/>
    <w:multiLevelType w:val="hybridMultilevel"/>
    <w:lvl w:ilvl="0">
      <w:lvlJc w:val="left"/>
      <w:lvlText w:val="(%1)"/>
      <w:numFmt w:val="lowerLetter"/>
      <w:start w:val="5"/>
    </w:lvl>
  </w:abstractNum>
  <w:abstractNum w:abstractNumId="26">
    <w:nsid w:val="B37E80A"/>
    <w:multiLevelType w:val="hybridMultilevel"/>
    <w:lvl w:ilvl="0">
      <w:lvlJc w:val="left"/>
      <w:lvlText w:val="(%1)"/>
      <w:numFmt w:val="lowerLetter"/>
      <w:start w:val="1"/>
    </w:lvl>
  </w:abstractNum>
  <w:abstractNum w:abstractNumId="27">
    <w:nsid w:val="2157F6BC"/>
    <w:multiLevelType w:val="hybridMultilevel"/>
    <w:lvl w:ilvl="0">
      <w:lvlJc w:val="left"/>
      <w:lvlText w:val="(%1)"/>
      <w:numFmt w:val="lowerLetter"/>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lvl w:ilvl="1">
      <w:lvlJc w:val="left"/>
      <w:lvlText w:val="(%2)"/>
      <w:numFmt w:val="lowerRoman"/>
      <w:start w:val="2"/>
    </w:lvl>
  </w:abstractNum>
  <w:abstractNum w:abstractNumId="35">
    <w:nsid w:val="5551B9F3"/>
    <w:multiLevelType w:val="hybridMultilevel"/>
    <w:lvl w:ilvl="0">
      <w:lvlJc w:val="left"/>
      <w:lvlText w:val="•"/>
      <w:numFmt w:val="bullet"/>
      <w:start w:val="1"/>
    </w:lvl>
    <w:lvl w:ilvl="1">
      <w:lvlJc w:val="left"/>
      <w:lvlText w:val="(%2)"/>
      <w:numFmt w:val="lowerRoman"/>
      <w:start w:val="4"/>
    </w:lvl>
  </w:abstractNum>
  <w:abstractNum w:abstractNumId="36">
    <w:nsid w:val="24F6AB8E"/>
    <w:multiLevelType w:val="hybridMultilevel"/>
    <w:lvl w:ilvl="0">
      <w:lvlJc w:val="left"/>
      <w:lvlText w:val="(%1)"/>
      <w:numFmt w:val="lowerRoman"/>
      <w:start w:val="4"/>
    </w:lvl>
  </w:abstractNum>
  <w:abstractNum w:abstractNumId="37">
    <w:nsid w:val="634C574C"/>
    <w:multiLevelType w:val="hybridMultilevel"/>
    <w:lvl w:ilvl="0">
      <w:lvlJc w:val="left"/>
      <w:lvlText w:val="(%1)"/>
      <w:numFmt w:val="lowerLetter"/>
      <w:start w:val="1"/>
    </w:lvl>
  </w:abstractNum>
  <w:abstractNum w:abstractNumId="38">
    <w:nsid w:val="24E99DD7"/>
    <w:multiLevelType w:val="hybridMultilevel"/>
    <w:lvl w:ilvl="0">
      <w:lvlJc w:val="left"/>
      <w:lvlText w:val="(%1)"/>
      <w:numFmt w:val="lowerLetter"/>
      <w:start w:val="1"/>
    </w:lvl>
  </w:abstractNum>
  <w:abstractNum w:abstractNumId="39">
    <w:nsid w:val="2A31B62D"/>
    <w:multiLevelType w:val="hybridMultilevel"/>
    <w:lvl w:ilvl="0">
      <w:lvlJc w:val="left"/>
      <w:lvlText w:val="•"/>
      <w:numFmt w:val="bullet"/>
      <w:start w:val="1"/>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
      <w:numFmt w:val="bullet"/>
      <w:start w:val="1"/>
    </w:lvl>
  </w:abstractNum>
  <w:abstractNum w:abstractNumId="42">
    <w:nsid w:val="754342"/>
    <w:multiLevelType w:val="hybridMultilevel"/>
    <w:lvl w:ilvl="0">
      <w:lvlJc w:val="left"/>
      <w:lvlText w:val="•"/>
      <w:numFmt w:val="bullet"/>
      <w:start w:val="1"/>
    </w:lvl>
  </w:abstractNum>
  <w:abstractNum w:abstractNumId="43">
    <w:nsid w:val="69E7F3E5"/>
    <w:multiLevelType w:val="hybridMultilevel"/>
    <w:lvl w:ilvl="0">
      <w:lvlJc w:val="left"/>
      <w:lvlText w:val="•"/>
      <w:numFmt w:val="bullet"/>
      <w:start w:val="1"/>
    </w:lvl>
  </w:abstractNum>
  <w:abstractNum w:abstractNumId="44">
    <w:nsid w:val="2A6DE806"/>
    <w:multiLevelType w:val="hybridMultilevel"/>
    <w:lvl w:ilvl="0">
      <w:lvlJc w:val="left"/>
      <w:lvlText w:val="•"/>
      <w:numFmt w:val="bullet"/>
      <w:start w:val="1"/>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1)"/>
      <w:numFmt w:val="lowerRoman"/>
      <w:start w:val="2"/>
    </w:lvl>
  </w:abstractNum>
  <w:abstractNum w:abstractNumId="49">
    <w:nsid w:val="61E74EA3"/>
    <w:multiLevelType w:val="hybridMultilevel"/>
    <w:lvl w:ilvl="0">
      <w:lvlJc w:val="left"/>
      <w:lvlText w:val="(%1)"/>
      <w:numFmt w:val="lowerLetter"/>
      <w:start w:val="1"/>
    </w:lvl>
  </w:abstractNum>
  <w:abstractNum w:abstractNumId="50">
    <w:nsid w:val="597B4D84"/>
    <w:multiLevelType w:val="hybridMultilevel"/>
    <w:lvl w:ilvl="0">
      <w:lvlJc w:val="left"/>
      <w:lvlText w:val="(%1)"/>
      <w:numFmt w:val="lowerLetter"/>
      <w:start w:val="1"/>
    </w:lvl>
  </w:abstractNum>
  <w:abstractNum w:abstractNumId="51">
    <w:nsid w:val="F819E7F"/>
    <w:multiLevelType w:val="hybridMultilevel"/>
    <w:lvl w:ilvl="0">
      <w:lvlJc w:val="left"/>
      <w:lvlText w:val="%1."/>
      <w:numFmt w:val="decimal"/>
      <w:start w:val="1"/>
    </w:lvl>
  </w:abstractNum>
  <w:abstractNum w:abstractNumId="52">
    <w:nsid w:val="57C7D42D"/>
    <w:multiLevelType w:val="hybridMultilevel"/>
    <w:lvl w:ilvl="0">
      <w:lvlJc w:val="left"/>
      <w:lvlText w:val="(%1)"/>
      <w:numFmt w:val="decimal"/>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1)"/>
      <w:numFmt w:val="lowerRoman"/>
      <w:start w:val="1"/>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amp;"/>
      <w:numFmt w:val="bullet"/>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1)"/>
      <w:numFmt w:val="decimal"/>
      <w:start w:val="1"/>
    </w:lvl>
  </w:abstractNum>
  <w:abstractNum w:abstractNumId="68">
    <w:nsid w:val="230F856C"/>
    <w:multiLevelType w:val="hybridMultilevel"/>
    <w:lvl w:ilvl="0">
      <w:lvlJc w:val="left"/>
      <w:lvlText w:val="(%1)"/>
      <w:numFmt w:val="decimal"/>
      <w:start w:val="1"/>
    </w:lvl>
  </w:abstractNum>
  <w:abstractNum w:abstractNumId="69">
    <w:nsid w:val="6EAA85FB"/>
    <w:multiLevelType w:val="hybridMultilevel"/>
    <w:lvl w:ilvl="0">
      <w:lvlJc w:val="left"/>
      <w:lvlText w:val="(%1)"/>
      <w:numFmt w:val="decimal"/>
      <w:start w:val="1"/>
    </w:lvl>
  </w:abstractNum>
  <w:abstractNum w:abstractNumId="70">
    <w:nsid w:val="3F06ECB2"/>
    <w:multiLevelType w:val="hybridMultilevel"/>
    <w:lvl w:ilvl="0">
      <w:lvlJc w:val="left"/>
      <w:lvlText w:val="(%1)"/>
      <w:numFmt w:val="decimal"/>
      <w:start w:val="1"/>
    </w:lvl>
  </w:abstractNum>
  <w:abstractNum w:abstractNumId="71">
    <w:nsid w:val="3B594807"/>
    <w:multiLevelType w:val="hybridMultilevel"/>
    <w:lvl w:ilvl="0">
      <w:lvlJc w:val="left"/>
      <w:lvlText w:val="(%1)"/>
      <w:numFmt w:val="decimal"/>
      <w:start w:val="1"/>
    </w:lvl>
  </w:abstractNum>
  <w:abstractNum w:abstractNumId="72">
    <w:nsid w:val="6CAA2304"/>
    <w:multiLevelType w:val="hybridMultilevel"/>
    <w:lvl w:ilvl="0">
      <w:lvlJc w:val="left"/>
      <w:lvlText w:val="•"/>
      <w:numFmt w:val="bullet"/>
      <w:start w:val="1"/>
    </w:lvl>
    <w:lvl w:ilvl="1">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1)"/>
      <w:numFmt w:val="decimal"/>
      <w:start w:val="1"/>
    </w:lvl>
  </w:abstractNum>
  <w:abstractNum w:abstractNumId="75">
    <w:nsid w:val="17180B0B"/>
    <w:multiLevelType w:val="hybridMultilevel"/>
    <w:lvl w:ilvl="0">
      <w:lvlJc w:val="left"/>
      <w:lvlText w:val="(%1)"/>
      <w:numFmt w:val="decimal"/>
      <w:start w:val="1"/>
    </w:lvl>
  </w:abstractNum>
  <w:abstractNum w:abstractNumId="76">
    <w:nsid w:val="579328B9"/>
    <w:multiLevelType w:val="hybridMultilevel"/>
    <w:lvl w:ilvl="0">
      <w:lvlJc w:val="left"/>
      <w:lvlText w:val="(%1)"/>
      <w:numFmt w:val="decimal"/>
      <w:start w:val="1"/>
    </w:lvl>
  </w:abstractNum>
  <w:abstractNum w:abstractNumId="77">
    <w:nsid w:val="5D205E20"/>
    <w:multiLevelType w:val="hybridMultilevel"/>
    <w:lvl w:ilvl="0">
      <w:lvlJc w:val="left"/>
      <w:lvlText w:val="%1."/>
      <w:numFmt w:val="decimal"/>
      <w:start w:val="718"/>
    </w:lvl>
  </w:abstractNum>
  <w:abstractNum w:abstractNumId="78">
    <w:nsid w:val="11CCA8BA"/>
    <w:multiLevelType w:val="hybridMultilevel"/>
    <w:lvl w:ilvl="0">
      <w:lvlJc w:val="left"/>
      <w:lvlText w:val="(%1)"/>
      <w:numFmt w:val="decimal"/>
      <w:start w:val="1"/>
    </w:lvl>
  </w:abstractNum>
  <w:abstractNum w:abstractNumId="79">
    <w:nsid w:val="4D32AB86"/>
    <w:multiLevelType w:val="hybridMultilevel"/>
    <w:lvl w:ilvl="0">
      <w:lvlJc w:val="left"/>
      <w:lvlText w:val="(%1)"/>
      <w:numFmt w:val="decimal"/>
      <w:start w:val="3"/>
    </w:lvl>
    <w:lvl w:ilvl="1">
      <w:lvlJc w:val="left"/>
      <w:lvlText w:val="(%2)"/>
      <w:numFmt w:val="lowerLetter"/>
      <w:start w:val="1"/>
    </w:lvl>
  </w:abstractNum>
  <w:abstractNum w:abstractNumId="80">
    <w:nsid w:val="3F07ACC3"/>
    <w:multiLevelType w:val="hybridMultilevel"/>
    <w:lvl w:ilvl="0">
      <w:lvlJc w:val="left"/>
      <w:lvlText w:val="(%1)"/>
      <w:numFmt w:val="decimal"/>
      <w:start w:val="5"/>
    </w:lvl>
  </w:abstractNum>
  <w:abstractNum w:abstractNumId="81">
    <w:nsid w:val="6B47F63E"/>
    <w:multiLevelType w:val="hybridMultilevel"/>
    <w:lvl w:ilvl="0">
      <w:lvlJc w:val="left"/>
      <w:lvlText w:val="%1"/>
      <w:numFmt w:val="decimal"/>
      <w:start w:val="1"/>
    </w:lvl>
    <w:lvl w:ilvl="1">
      <w:lvlJc w:val="left"/>
      <w:lvlText w:val="(%2)"/>
      <w:numFmt w:val="lowerLetter"/>
      <w:start w:val="24"/>
    </w:lvl>
  </w:abstractNum>
  <w:abstractNum w:abstractNumId="82">
    <w:nsid w:val="5CB44A05"/>
    <w:multiLevelType w:val="hybridMultilevel"/>
    <w:lvl w:ilvl="0">
      <w:lvlJc w:val="left"/>
      <w:lvlText w:val="(%1)"/>
      <w:numFmt w:val="decimal"/>
      <w:start w:val="6"/>
    </w:lvl>
    <w:lvl w:ilvl="1">
      <w:lvlJc w:val="left"/>
      <w:lvlText w:val="%2"/>
      <w:numFmt w:val="lowerLetter"/>
      <w:start w:val="1"/>
    </w:lvl>
  </w:abstractNum>
  <w:abstractNum w:abstractNumId="83">
    <w:nsid w:val="16CF80F1"/>
    <w:multiLevelType w:val="hybridMultilevel"/>
    <w:lvl w:ilvl="0">
      <w:lvlJc w:val="left"/>
      <w:lvlText w:val="(%1)"/>
      <w:numFmt w:val="decimal"/>
      <w:start w:val="9"/>
    </w:lvl>
  </w:abstractNum>
  <w:abstractNum w:abstractNumId="84">
    <w:nsid w:val="1C695DEC"/>
    <w:multiLevelType w:val="hybridMultilevel"/>
    <w:lvl w:ilvl="0">
      <w:lvlJc w:val="left"/>
      <w:lvlText w:val="(%1)"/>
      <w:numFmt w:val="decimal"/>
      <w:start w:val="1"/>
    </w:lvl>
  </w:abstractNum>
  <w:abstractNum w:abstractNumId="85">
    <w:nsid w:val="3FCFAED9"/>
    <w:multiLevelType w:val="hybridMultilevel"/>
    <w:lvl w:ilvl="0">
      <w:lvlJc w:val="left"/>
      <w:lvlText w:val="(%1)"/>
      <w:numFmt w:val="decimal"/>
      <w:start w:val="1"/>
    </w:lvl>
  </w:abstractNum>
  <w:abstractNum w:abstractNumId="86">
    <w:nsid w:val="F856867"/>
    <w:multiLevelType w:val="hybridMultilevel"/>
    <w:lvl w:ilvl="0">
      <w:lvlJc w:val="left"/>
      <w:lvlText w:val="(%1)"/>
      <w:numFmt w:val="decimal"/>
      <w:start w:val="1"/>
    </w:lvl>
  </w:abstractNum>
  <w:abstractNum w:abstractNumId="87">
    <w:nsid w:val="11B1CC33"/>
    <w:multiLevelType w:val="hybridMultilevel"/>
    <w:lvl w:ilvl="0">
      <w:lvlJc w:val="left"/>
      <w:lvlText w:val="(%1)"/>
      <w:numFmt w:val="decimal"/>
      <w:start w:val="1"/>
    </w:lvl>
  </w:abstractNum>
  <w:abstractNum w:abstractNumId="88">
    <w:nsid w:val="2E22FBB7"/>
    <w:multiLevelType w:val="hybridMultilevel"/>
    <w:lvl w:ilvl="0">
      <w:lvlJc w:val="left"/>
      <w:lvlText w:val="(%1)"/>
      <w:numFmt w:val="decimal"/>
      <w:start w:val="7"/>
    </w:lvl>
  </w:abstractNum>
  <w:abstractNum w:abstractNumId="89">
    <w:nsid w:val="29934699"/>
    <w:multiLevelType w:val="hybridMultilevel"/>
    <w:lvl w:ilvl="0">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1)"/>
      <w:numFmt w:val="decimal"/>
      <w:start w:val="1"/>
    </w:lvl>
  </w:abstractNum>
  <w:abstractNum w:abstractNumId="94">
    <w:nsid w:val="68B867D3"/>
    <w:multiLevelType w:val="hybridMultilevel"/>
    <w:lvl w:ilvl="0">
      <w:lvlJc w:val="left"/>
      <w:lvlText w:val="(%1)"/>
      <w:numFmt w:val="decimal"/>
      <w:start w:val="4"/>
    </w:lvl>
  </w:abstractNum>
  <w:abstractNum w:abstractNumId="95">
    <w:nsid w:val="3F7F5DD9"/>
    <w:multiLevelType w:val="hybridMultilevel"/>
    <w:lvl w:ilvl="0">
      <w:lvlJc w:val="left"/>
      <w:lvlText w:val="(%1)"/>
      <w:numFmt w:val="decimal"/>
      <w:start w:val="9"/>
    </w:lvl>
  </w:abstractNum>
  <w:abstractNum w:abstractNumId="96">
    <w:nsid w:val="2AE05A34"/>
    <w:multiLevelType w:val="hybridMultilevel"/>
    <w:lvl w:ilvl="0">
      <w:lvlJc w:val="left"/>
      <w:lvlText w:val="(%1)"/>
      <w:numFmt w:val="decimal"/>
      <w:start w:val="13"/>
    </w:lvl>
  </w:abstractNum>
  <w:abstractNum w:abstractNumId="97">
    <w:nsid w:val="32794FF7"/>
    <w:multiLevelType w:val="hybridMultilevel"/>
    <w:lvl w:ilvl="0">
      <w:lvlJc w:val="left"/>
      <w:lvlText w:val="(%1)"/>
      <w:numFmt w:val="decimal"/>
      <w:start w:val="21"/>
    </w:lvl>
  </w:abstractNum>
  <w:abstractNum w:abstractNumId="98">
    <w:nsid w:val="5454945E"/>
    <w:multiLevelType w:val="hybridMultilevel"/>
    <w:lvl w:ilvl="0">
      <w:lvlJc w:val="left"/>
      <w:lvlText w:val="(%1)"/>
      <w:numFmt w:val="decimal"/>
      <w:start w:val="25"/>
    </w:lvl>
  </w:abstractNum>
  <w:abstractNum w:abstractNumId="99">
    <w:nsid w:val="4DEFDFA0"/>
    <w:multiLevelType w:val="hybridMultilevel"/>
    <w:lvl w:ilvl="0">
      <w:lvlJc w:val="left"/>
      <w:lvlText w:val="(%1)"/>
      <w:numFmt w:val="decimal"/>
      <w:start w:val="33"/>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
      <w:numFmt w:val="bullet"/>
      <w:start w:val="1"/>
    </w:lvl>
    <w:lvl w:ilvl="1">
      <w:lvlJc w:val="left"/>
      <w:lvlText w:val="◦"/>
      <w:numFmt w:val="bullet"/>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
      <w:numFmt w:val="bullet"/>
      <w:start w:val="1"/>
    </w:lvl>
  </w:abstractNum>
  <w:abstractNum w:abstractNumId="104">
    <w:nsid w:val="52D7B105"/>
    <w:multiLevelType w:val="hybridMultilevel"/>
    <w:lvl w:ilvl="0">
      <w:lvlJc w:val="left"/>
      <w:lvlText w:val="•"/>
      <w:numFmt w:val="bullet"/>
      <w:start w:val="1"/>
    </w:lvl>
  </w:abstractNum>
  <w:abstractNum w:abstractNumId="105">
    <w:nsid w:val="2E8A6394"/>
    <w:multiLevelType w:val="hybridMultilevel"/>
    <w:lvl w:ilvl="0">
      <w:lvlJc w:val="left"/>
      <w:lvlText w:val="•"/>
      <w:numFmt w:val="bullet"/>
      <w:start w:val="1"/>
    </w:lvl>
  </w:abstractNum>
  <w:abstractNum w:abstractNumId="106">
    <w:nsid w:val="24E60401"/>
    <w:multiLevelType w:val="hybridMultilevel"/>
    <w:lvl w:ilvl="0">
      <w:lvlJc w:val="left"/>
      <w:lvlText w:val="•"/>
      <w:numFmt w:val="bullet"/>
      <w:start w:val="1"/>
    </w:lvl>
  </w:abstractNum>
  <w:abstractNum w:abstractNumId="107">
    <w:nsid w:val="2A6AD9BE"/>
    <w:multiLevelType w:val="hybridMultilevel"/>
    <w:lvl w:ilvl="0">
      <w:lvlJc w:val="left"/>
      <w:lvlText w:val="%1."/>
      <w:numFmt w:val="decimal"/>
      <w:start w:val="8"/>
    </w:lvl>
  </w:abstractNum>
  <w:abstractNum w:abstractNumId="108">
    <w:nsid w:val="BAAC1B4"/>
    <w:multiLevelType w:val="hybridMultilevel"/>
    <w:lvl w:ilvl="0">
      <w:lvlJc w:val="left"/>
      <w:lvlText w:val="•"/>
      <w:numFmt w:val="bullet"/>
      <w:start w:val="1"/>
    </w:lvl>
  </w:abstractNum>
  <w:abstractNum w:abstractNumId="109">
    <w:nsid w:val="36B2ACBC"/>
    <w:multiLevelType w:val="hybridMultilevel"/>
    <w:lvl w:ilvl="0">
      <w:lvlJc w:val="left"/>
      <w:lvlText w:val="(%1)"/>
      <w:numFmt w:val="lowerLetter"/>
      <w:start w:val="1"/>
    </w:lvl>
  </w:abstractNum>
  <w:abstractNum w:abstractNumId="110">
    <w:nsid w:val="779D8544"/>
    <w:multiLevelType w:val="hybridMultilevel"/>
    <w:lvl w:ilvl="0">
      <w:lvlJc w:val="left"/>
      <w:lvlText w:val="(%1)"/>
      <w:numFmt w:val="lowerLetter"/>
      <w:start w:val="1"/>
    </w:lvl>
  </w:abstractNum>
  <w:abstractNum w:abstractNumId="111">
    <w:nsid w:val="4AB26E78"/>
    <w:multiLevelType w:val="hybridMultilevel"/>
    <w:lvl w:ilvl="0">
      <w:lvlJc w:val="left"/>
      <w:lvlText w:val="%1."/>
      <w:numFmt w:val="decimal"/>
      <w:start w:val="2"/>
    </w:lvl>
  </w:abstractNum>
  <w:abstractNum w:abstractNumId="112">
    <w:nsid w:val="21FAA2FA"/>
    <w:multiLevelType w:val="hybridMultilevel"/>
    <w:lvl w:ilvl="0">
      <w:lvlJc w:val="left"/>
      <w:lvlText w:val="%1."/>
      <w:numFmt w:val="decimal"/>
      <w:start w:val="3"/>
    </w:lvl>
  </w:abstractNum>
  <w:abstractNum w:abstractNumId="113">
    <w:nsid w:val="5451CF49"/>
    <w:multiLevelType w:val="hybridMultilevel"/>
    <w:lvl w:ilvl="0">
      <w:lvlJc w:val="left"/>
      <w:lvlText w:val="(%1)"/>
      <w:numFmt w:val="lowerLetter"/>
      <w:start w:val="1"/>
    </w:lvl>
  </w:abstractNum>
  <w:abstractNum w:abstractNumId="114">
    <w:nsid w:val="6181EF69"/>
    <w:multiLevelType w:val="hybridMultilevel"/>
    <w:lvl w:ilvl="0">
      <w:lvlJc w:val="left"/>
      <w:lvlText w:val="(%1)"/>
      <w:numFmt w:val="lowerLetter"/>
      <w:start w:val="1"/>
    </w:lvl>
  </w:abstractNum>
  <w:abstractNum w:abstractNumId="115">
    <w:nsid w:val="3E6400E6"/>
    <w:multiLevelType w:val="hybridMultilevel"/>
    <w:lvl w:ilvl="0">
      <w:lvlJc w:val="left"/>
      <w:lvlText w:val="(%1)"/>
      <w:numFmt w:val="lowerLetter"/>
      <w:start w:val="1"/>
    </w:lvl>
  </w:abstractNum>
  <w:abstractNum w:abstractNumId="116">
    <w:nsid w:val="14217E23"/>
    <w:multiLevelType w:val="hybridMultilevel"/>
    <w:lvl w:ilvl="0">
      <w:lvlJc w:val="left"/>
      <w:lvlText w:val="(%1)"/>
      <w:numFmt w:val="lowerLetter"/>
      <w:start w:val="1"/>
    </w:lvl>
  </w:abstractNum>
  <w:abstractNum w:abstractNumId="117">
    <w:nsid w:val="710757D0"/>
    <w:multiLevelType w:val="hybridMultilevel"/>
    <w:lvl w:ilvl="0">
      <w:lvlJc w:val="left"/>
      <w:lvlText w:val="(%1)"/>
      <w:numFmt w:val="lowerLetter"/>
      <w:start w:val="1"/>
    </w:lvl>
  </w:abstractNum>
  <w:abstractNum w:abstractNumId="118">
    <w:nsid w:val="5015CD1A"/>
    <w:multiLevelType w:val="hybridMultilevel"/>
    <w:lvl w:ilvl="0">
      <w:lvlJc w:val="left"/>
      <w:lvlText w:val="%1."/>
      <w:numFmt w:val="decimal"/>
      <w:start w:val="4"/>
    </w:lvl>
  </w:abstractNum>
  <w:abstractNum w:abstractNumId="119">
    <w:nsid w:val="424479DA"/>
    <w:multiLevelType w:val="hybridMultilevel"/>
    <w:lvl w:ilvl="0">
      <w:lvlJc w:val="left"/>
      <w:lvlText w:val="(%1)"/>
      <w:numFmt w:val="lowerLetter"/>
      <w:start w:val="1"/>
    </w:lvl>
  </w:abstractNum>
  <w:abstractNum w:abstractNumId="120">
    <w:nsid w:val="1A9A9E69"/>
    <w:multiLevelType w:val="hybridMultilevel"/>
    <w:lvl w:ilvl="0">
      <w:lvlJc w:val="left"/>
      <w:lvlText w:val="%1."/>
      <w:numFmt w:val="decimal"/>
      <w:start w:val="5"/>
    </w:lvl>
  </w:abstractNum>
  <w:abstractNum w:abstractNumId="121">
    <w:nsid w:val="475E256A"/>
    <w:multiLevelType w:val="hybridMultilevel"/>
    <w:lvl w:ilvl="0">
      <w:lvlJc w:val="left"/>
      <w:lvlText w:val="(%1)"/>
      <w:numFmt w:val="lowerLetter"/>
      <w:start w:val="1"/>
    </w:lvl>
  </w:abstractNum>
  <w:abstractNum w:abstractNumId="122">
    <w:nsid w:val="368DB37E"/>
    <w:multiLevelType w:val="hybridMultilevel"/>
    <w:lvl w:ilvl="0">
      <w:lvlJc w:val="left"/>
      <w:lvlText w:val="(%1)"/>
      <w:numFmt w:val="lowerLetter"/>
      <w:start w:val="1"/>
    </w:lvl>
  </w:abstractNum>
  <w:abstractNum w:abstractNumId="123">
    <w:nsid w:val="6A3B714C"/>
    <w:multiLevelType w:val="hybridMultilevel"/>
    <w:lvl w:ilvl="0">
      <w:lvlJc w:val="left"/>
      <w:lvlText w:val="(%1)"/>
      <w:numFmt w:val="lowerLetter"/>
      <w:start w:val="1"/>
    </w:lvl>
  </w:abstractNum>
  <w:abstractNum w:abstractNumId="124">
    <w:nsid w:val="327B517E"/>
    <w:multiLevelType w:val="hybridMultilevel"/>
    <w:lvl w:ilvl="0">
      <w:lvlJc w:val="left"/>
      <w:lvlText w:val="(%1)"/>
      <w:numFmt w:val="lowerLetter"/>
      <w:start w:val="1"/>
    </w:lvl>
  </w:abstractNum>
  <w:abstractNum w:abstractNumId="125">
    <w:nsid w:val="1F461B51"/>
    <w:multiLevelType w:val="hybridMultilevel"/>
    <w:lvl w:ilvl="0">
      <w:lvlJc w:val="left"/>
      <w:lvlText w:val="(%1)"/>
      <w:numFmt w:val="lowerLetter"/>
      <w:start w:val="1"/>
    </w:lvl>
  </w:abstractNum>
  <w:abstractNum w:abstractNumId="126">
    <w:nsid w:val="29BACF25"/>
    <w:multiLevelType w:val="hybridMultilevel"/>
    <w:lvl w:ilvl="0">
      <w:lvlJc w:val="left"/>
      <w:lvlText w:val="(%1)"/>
      <w:numFmt w:val="lowerRoman"/>
      <w:start w:val="1"/>
    </w:lvl>
  </w:abstractNum>
  <w:abstractNum w:abstractNumId="127">
    <w:nsid w:val="5D5BABB3"/>
    <w:multiLevelType w:val="hybridMultilevel"/>
    <w:lvl w:ilvl="0">
      <w:lvlJc w:val="left"/>
      <w:lvlText w:val="%1."/>
      <w:numFmt w:val="decimal"/>
      <w:start w:val="11"/>
    </w:lvl>
  </w:abstractNum>
  <w:abstractNum w:abstractNumId="128">
    <w:nsid w:val="51BF6B48"/>
    <w:multiLevelType w:val="hybridMultilevel"/>
    <w:lvl w:ilvl="0">
      <w:lvlJc w:val="left"/>
      <w:lvlText w:val="(%1)"/>
      <w:numFmt w:val="lowerLetter"/>
      <w:start w:val="1"/>
    </w:lvl>
  </w:abstractNum>
  <w:abstractNum w:abstractNumId="129">
    <w:nsid w:val="7E0F6384"/>
    <w:multiLevelType w:val="hybridMultilevel"/>
    <w:lvl w:ilvl="0">
      <w:lvlJc w:val="left"/>
      <w:lvlText w:val="(%1)"/>
      <w:numFmt w:val="lowerLetter"/>
      <w:start w:val="1"/>
    </w:lvl>
  </w:abstractNum>
  <w:abstractNum w:abstractNumId="130">
    <w:nsid w:val="2B4B8B53"/>
    <w:multiLevelType w:val="hybridMultilevel"/>
    <w:lvl w:ilvl="0">
      <w:lvlJc w:val="left"/>
      <w:lvlText w:val="(%1)"/>
      <w:numFmt w:val="lowerLetter"/>
      <w:start w:val="1"/>
    </w:lvl>
  </w:abstractNum>
  <w:abstractNum w:abstractNumId="131">
    <w:nsid w:val="72E3413A"/>
    <w:multiLevelType w:val="hybridMultilevel"/>
    <w:lvl w:ilvl="0">
      <w:lvlJc w:val="left"/>
      <w:lvlText w:val="(%1)"/>
      <w:numFmt w:val="lowerRoman"/>
      <w:start w:val="1"/>
    </w:lvl>
  </w:abstractNum>
  <w:abstractNum w:abstractNumId="132">
    <w:nsid w:val="116AE494"/>
    <w:multiLevelType w:val="hybridMultilevel"/>
    <w:lvl w:ilvl="0">
      <w:lvlJc w:val="left"/>
      <w:lvlText w:val="(%1)"/>
      <w:numFmt w:val="lowerLetter"/>
      <w:start w:val="1"/>
    </w:lvl>
  </w:abstractNum>
  <w:abstractNum w:abstractNumId="133">
    <w:nsid w:val="3494B2FB"/>
    <w:multiLevelType w:val="hybridMultilevel"/>
    <w:lvl w:ilvl="0">
      <w:lvlJc w:val="left"/>
      <w:lvlText w:val="(%1)"/>
      <w:numFmt w:val="lowerLetter"/>
      <w:start w:val="1"/>
    </w:lvl>
  </w:abstractNum>
  <w:abstractNum w:abstractNumId="134">
    <w:nsid w:val="B13A31"/>
    <w:multiLevelType w:val="hybridMultilevel"/>
    <w:lvl w:ilvl="0">
      <w:lvlJc w:val="left"/>
      <w:lvlText w:val="(%1)"/>
      <w:numFmt w:val="lowerLetter"/>
      <w:start w:val="1"/>
    </w:lvl>
  </w:abstractNum>
  <w:abstractNum w:abstractNumId="135">
    <w:nsid w:val="64429599"/>
    <w:multiLevelType w:val="hybridMultilevel"/>
    <w:lvl w:ilvl="0">
      <w:lvlJc w:val="left"/>
      <w:lvlText w:val="(%1)"/>
      <w:numFmt w:val="lowerLetter"/>
      <w:start w:val="1"/>
    </w:lvl>
  </w:abstractNum>
  <w:abstractNum w:abstractNumId="136">
    <w:nsid w:val="631F1690"/>
    <w:multiLevelType w:val="hybridMultilevel"/>
    <w:lvl w:ilvl="0">
      <w:lvlJc w:val="left"/>
      <w:lvlText w:val="•"/>
      <w:numFmt w:val="bullet"/>
      <w:start w:val="1"/>
    </w:lvl>
  </w:abstractNum>
  <w:abstractNum w:abstractNumId="137">
    <w:nsid w:val="25973E32"/>
    <w:multiLevelType w:val="hybridMultilevel"/>
    <w:lvl w:ilvl="0">
      <w:lvlJc w:val="left"/>
      <w:lvlText w:val="(%1)"/>
      <w:numFmt w:val="lowerRoman"/>
      <w:start w:val="3"/>
    </w:lvl>
  </w:abstractNum>
  <w:abstractNum w:abstractNumId="138">
    <w:nsid w:val="EAD6F57"/>
    <w:multiLevelType w:val="hybridMultilevel"/>
    <w:lvl w:ilvl="0">
      <w:lvlJc w:val="left"/>
      <w:lvlText w:val="(%1)"/>
      <w:numFmt w:val="lowerRoman"/>
      <w:start w:val="2"/>
    </w:lvl>
  </w:abstractNum>
  <w:abstractNum w:abstractNumId="139">
    <w:nsid w:val="6EC9D844"/>
    <w:multiLevelType w:val="hybridMultilevel"/>
    <w:lvl w:ilvl="0">
      <w:lvlJc w:val="left"/>
      <w:lvlText w:val="(%1)"/>
      <w:numFmt w:val="lowerLetter"/>
      <w:start w:val="1"/>
    </w:lvl>
  </w:abstractNum>
  <w:abstractNum w:abstractNumId="140">
    <w:nsid w:val="5C49EAEE"/>
    <w:multiLevelType w:val="hybridMultilevel"/>
    <w:lvl w:ilvl="0">
      <w:lvlJc w:val="left"/>
      <w:lvlText w:val="(%1)"/>
      <w:numFmt w:val="lowerLetter"/>
      <w:start w:val="1"/>
    </w:lvl>
  </w:abstractNum>
  <w:abstractNum w:abstractNumId="141">
    <w:nsid w:val="64AF49B"/>
    <w:multiLevelType w:val="hybridMultilevel"/>
    <w:lvl w:ilvl="0">
      <w:lvlJc w:val="left"/>
      <w:lvlText w:val="%1."/>
      <w:numFmt w:val="decimal"/>
      <w:start w:val="1"/>
    </w:lvl>
  </w:abstractNum>
  <w:abstractNum w:abstractNumId="142">
    <w:nsid w:val="397C46BC"/>
    <w:multiLevelType w:val="hybridMultilevel"/>
    <w:lvl w:ilvl="0">
      <w:lvlJc w:val="left"/>
      <w:lvlText w:val="%1."/>
      <w:numFmt w:val="decimal"/>
      <w:start w:val="2"/>
    </w:lvl>
  </w:abstractNum>
  <w:abstractNum w:abstractNumId="143">
    <w:nsid w:val="7E448DE9"/>
    <w:multiLevelType w:val="hybridMultilevel"/>
    <w:lvl w:ilvl="0">
      <w:lvlJc w:val="left"/>
      <w:lvlText w:val="%1."/>
      <w:numFmt w:val="decimal"/>
      <w:start w:val="3"/>
    </w:lvl>
  </w:abstractNum>
  <w:abstractNum w:abstractNumId="144">
    <w:nsid w:val="5A9CC3E5"/>
    <w:multiLevelType w:val="hybridMultilevel"/>
    <w:lvl w:ilvl="0">
      <w:lvlJc w:val="left"/>
      <w:lvlText w:val="•"/>
      <w:numFmt w:val="bullet"/>
      <w:start w:val="1"/>
    </w:lvl>
    <w:lvl w:ilvl="1">
      <w:lvlJc w:val="left"/>
      <w:lvlText w:val="◦"/>
      <w:numFmt w:val="bullet"/>
      <w:start w:val="1"/>
    </w:lvl>
  </w:abstractNum>
  <w:abstractNum w:abstractNumId="145">
    <w:nsid w:val="1AFE3625"/>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46">
    <w:nsid w:val="3CA88ECF"/>
    <w:multiLevelType w:val="hybridMultilevel"/>
    <w:lvl w:ilvl="0">
      <w:lvlJc w:val="left"/>
      <w:lvlText w:val="(%1)"/>
      <w:numFmt w:val="lowerLetter"/>
      <w:start w:val="1"/>
    </w:lvl>
  </w:abstractNum>
  <w:abstractNum w:abstractNumId="147">
    <w:nsid w:val="6EBE4208"/>
    <w:multiLevelType w:val="hybridMultilevel"/>
    <w:lvl w:ilvl="0">
      <w:lvlJc w:val="left"/>
      <w:lvlText w:val="(%1)"/>
      <w:numFmt w:val="lowerLetter"/>
      <w:start w:val="1"/>
    </w:lvl>
  </w:abstractNum>
  <w:abstractNum w:abstractNumId="148">
    <w:nsid w:val="C058DF5"/>
    <w:multiLevelType w:val="hybridMultilevel"/>
    <w:lvl w:ilvl="0">
      <w:lvlJc w:val="left"/>
      <w:lvlText w:val="(%1)"/>
      <w:numFmt w:val="lowerLetter"/>
      <w:start w:val="1"/>
    </w:lvl>
  </w:abstractNum>
  <w:abstractNum w:abstractNumId="149">
    <w:nsid w:val="CBE5BE9"/>
    <w:multiLevelType w:val="hybridMultilevel"/>
    <w:lvl w:ilvl="0">
      <w:lvlJc w:val="left"/>
      <w:lvlText w:val="(%1)"/>
      <w:numFmt w:val="lowerLetter"/>
      <w:start w:val="1"/>
    </w:lvl>
  </w:abstractNum>
  <w:abstractNum w:abstractNumId="150">
    <w:nsid w:val="3102BBE2"/>
    <w:multiLevelType w:val="hybridMultilevel"/>
    <w:lvl w:ilvl="0">
      <w:lvlJc w:val="left"/>
      <w:lvlText w:val="(%1)"/>
      <w:numFmt w:val="lowerLetter"/>
      <w:start w:val="4"/>
    </w:lvl>
  </w:abstractNum>
  <w:abstractNum w:abstractNumId="151">
    <w:nsid w:val="26A02C5E"/>
    <w:multiLevelType w:val="hybridMultilevel"/>
    <w:lvl w:ilvl="0">
      <w:lvlJc w:val="left"/>
      <w:lvlText w:val="(%1)"/>
      <w:numFmt w:val="lowerLetter"/>
      <w:start w:val="6"/>
    </w:lvl>
  </w:abstractNum>
  <w:abstractNum w:abstractNumId="152">
    <w:nsid w:val="541C8153"/>
    <w:multiLevelType w:val="hybridMultilevel"/>
    <w:lvl w:ilvl="0">
      <w:lvlJc w:val="left"/>
      <w:lvlText w:val="$"/>
      <w:numFmt w:val="bullet"/>
      <w:start w:val="1"/>
    </w:lvl>
  </w:abstractNum>
  <w:abstractNum w:abstractNumId="153">
    <w:nsid w:val="67906F60"/>
    <w:multiLevelType w:val="hybridMultilevel"/>
    <w:lvl w:ilvl="0">
      <w:lvlJc w:val="left"/>
      <w:lvlText w:val="$"/>
      <w:numFmt w:val="bullet"/>
      <w:start w:val="1"/>
    </w:lvl>
  </w:abstractNum>
  <w:abstractNum w:abstractNumId="154">
    <w:nsid w:val="10DB9DAA"/>
    <w:multiLevelType w:val="hybridMultilevel"/>
    <w:lvl w:ilvl="0">
      <w:lvlJc w:val="left"/>
      <w:lvlText w:val="$"/>
      <w:numFmt w:val="bullet"/>
      <w:start w:val="1"/>
    </w:lvl>
  </w:abstractNum>
  <w:abstractNum w:abstractNumId="155">
    <w:nsid w:val="697D2D2"/>
    <w:multiLevelType w:val="hybridMultilevel"/>
    <w:lvl w:ilvl="0">
      <w:lvlJc w:val="left"/>
      <w:lvlText w:val="$"/>
      <w:numFmt w:val="bullet"/>
      <w:start w:val="1"/>
    </w:lvl>
  </w:abstractNum>
  <w:abstractNum w:abstractNumId="156">
    <w:nsid w:val="6D68AB2"/>
    <w:multiLevelType w:val="hybridMultilevel"/>
    <w:lvl w:ilvl="0">
      <w:lvlJc w:val="left"/>
      <w:lvlText w:val="(%1)"/>
      <w:numFmt w:val="lowerLetter"/>
      <w:start w:val="1"/>
    </w:lvl>
  </w:abstractNum>
  <w:abstractNum w:abstractNumId="157">
    <w:nsid w:val="3A966CD0"/>
    <w:multiLevelType w:val="hybridMultilevel"/>
    <w:lvl w:ilvl="0">
      <w:lvlJc w:val="left"/>
      <w:lvlText w:val="$"/>
      <w:numFmt w:val="bullet"/>
      <w:start w:val="1"/>
    </w:lvl>
  </w:abstractNum>
  <w:abstractNum w:abstractNumId="158">
    <w:nsid w:val="63F37E85"/>
    <w:multiLevelType w:val="hybridMultilevel"/>
    <w:lvl w:ilvl="0">
      <w:lvlJc w:val="left"/>
      <w:lvlText w:val="$"/>
      <w:numFmt w:val="bullet"/>
      <w:start w:val="1"/>
    </w:lvl>
  </w:abstractNum>
  <w:abstractNum w:abstractNumId="159">
    <w:nsid w:val="5895F5FA"/>
    <w:multiLevelType w:val="hybridMultilevel"/>
    <w:lvl w:ilvl="0">
      <w:lvlJc w:val="left"/>
      <w:lvlText w:val="$"/>
      <w:numFmt w:val="bullet"/>
      <w:start w:val="1"/>
    </w:lvl>
  </w:abstractNum>
  <w:abstractNum w:abstractNumId="160">
    <w:nsid w:val="38A5D054"/>
    <w:multiLevelType w:val="hybridMultilevel"/>
    <w:lvl w:ilvl="0">
      <w:lvlJc w:val="left"/>
      <w:lvlText w:val="$"/>
      <w:numFmt w:val="bullet"/>
      <w:start w:val="1"/>
    </w:lvl>
  </w:abstractNum>
  <w:abstractNum w:abstractNumId="161">
    <w:nsid w:val="F3F09D8"/>
    <w:multiLevelType w:val="hybridMultilevel"/>
    <w:lvl w:ilvl="0">
      <w:lvlJc w:val="left"/>
      <w:lvlText w:val="$"/>
      <w:numFmt w:val="bullet"/>
      <w:start w:val="1"/>
    </w:lvl>
  </w:abstractNum>
  <w:abstractNum w:abstractNumId="162">
    <w:nsid w:val="4B793735"/>
    <w:multiLevelType w:val="hybridMultilevel"/>
    <w:lvl w:ilvl="0">
      <w:lvlJc w:val="left"/>
      <w:lvlText w:val="$"/>
      <w:numFmt w:val="bullet"/>
      <w:start w:val="1"/>
    </w:lvl>
  </w:abstractNum>
  <w:abstractNum w:abstractNumId="163">
    <w:nsid w:val="4A10B4E8"/>
    <w:multiLevelType w:val="hybridMultilevel"/>
    <w:lvl w:ilvl="0">
      <w:lvlJc w:val="left"/>
      <w:lvlText w:val="$"/>
      <w:numFmt w:val="bullet"/>
      <w:start w:val="1"/>
    </w:lvl>
  </w:abstractNum>
  <w:abstractNum w:abstractNumId="164">
    <w:nsid w:val="43D3BCD4"/>
    <w:multiLevelType w:val="hybridMultilevel"/>
    <w:lvl w:ilvl="0">
      <w:lvlJc w:val="left"/>
      <w:lvlText w:val="$"/>
      <w:numFmt w:val="bullet"/>
      <w:start w:val="1"/>
    </w:lvl>
  </w:abstractNum>
  <w:abstractNum w:abstractNumId="165">
    <w:nsid w:val="4C2A7166"/>
    <w:multiLevelType w:val="hybridMultilevel"/>
    <w:lvl w:ilvl="0">
      <w:lvlJc w:val="left"/>
      <w:lvlText w:val="(%1)"/>
      <w:numFmt w:val="lowerLetter"/>
      <w:start w:val="1"/>
    </w:lvl>
  </w:abstractNum>
  <w:abstractNum w:abstractNumId="166">
    <w:nsid w:val="2E534A82"/>
    <w:multiLevelType w:val="hybridMultilevel"/>
    <w:lvl w:ilvl="0">
      <w:lvlJc w:val="left"/>
      <w:lvlText w:val="(%1)"/>
      <w:numFmt w:val="lowerLetter"/>
      <w:start w:val="1"/>
    </w:lvl>
  </w:abstractNum>
  <w:abstractNum w:abstractNumId="167">
    <w:nsid w:val="26F2D364"/>
    <w:multiLevelType w:val="hybridMultilevel"/>
    <w:lvl w:ilvl="0">
      <w:lvlJc w:val="left"/>
      <w:lvlText w:val="(%1)"/>
      <w:numFmt w:val="lowerLetter"/>
      <w:start w:val="17"/>
    </w:lvl>
  </w:abstractNum>
  <w:abstractNum w:abstractNumId="168">
    <w:nsid w:val="71C1AF98"/>
    <w:multiLevelType w:val="hybridMultilevel"/>
    <w:lvl w:ilvl="0">
      <w:lvlJc w:val="left"/>
      <w:lvlText w:val="(%1)"/>
      <w:numFmt w:val="lowerLetter"/>
      <w:start w:val="19"/>
    </w:lvl>
  </w:abstractNum>
  <w:abstractNum w:abstractNumId="169">
    <w:nsid w:val="3D00B9D9"/>
    <w:multiLevelType w:val="hybridMultilevel"/>
    <w:lvl w:ilvl="0">
      <w:lvlJc w:val="left"/>
      <w:lvlText w:val="(%1)"/>
      <w:numFmt w:val="lowerLetter"/>
      <w:start w:val="1"/>
    </w:lvl>
    <w:lvl w:ilvl="1">
      <w:lvlJc w:val="left"/>
      <w:lvlText w:val="(%2)"/>
      <w:numFmt w:val="lowerLetter"/>
      <w:start w:val="22"/>
    </w:lvl>
  </w:abstractNum>
  <w:abstractNum w:abstractNumId="170">
    <w:nsid w:val="15BCABA8"/>
    <w:multiLevelType w:val="hybridMultilevel"/>
    <w:lvl w:ilvl="0">
      <w:lvlJc w:val="left"/>
      <w:lvlText w:val="(%1)"/>
      <w:numFmt w:val="lowerLetter"/>
      <w:start w:val="1"/>
    </w:lvl>
  </w:abstractNum>
  <w:abstractNum w:abstractNumId="171">
    <w:nsid w:val="4E0B9A87"/>
    <w:multiLevelType w:val="hybridMultilevel"/>
    <w:lvl w:ilvl="0">
      <w:lvlJc w:val="left"/>
      <w:lvlText w:val="(%1)"/>
      <w:numFmt w:val="lowerLetter"/>
      <w:start w:val="24"/>
    </w:lvl>
  </w:abstractNum>
  <w:abstractNum w:abstractNumId="172">
    <w:nsid w:val="434BAE75"/>
    <w:multiLevelType w:val="hybridMultilevel"/>
    <w:lvl w:ilvl="0">
      <w:lvlJc w:val="left"/>
      <w:lvlText w:val="(%1)"/>
      <w:numFmt w:val="lowerLetter"/>
      <w:start w:val="26"/>
    </w:lvl>
  </w:abstractNum>
  <w:abstractNum w:abstractNumId="173">
    <w:nsid w:val="4F38F265"/>
    <w:multiLevelType w:val="hybridMultilevel"/>
    <w:lvl w:ilvl="0">
      <w:lvlJc w:val="left"/>
      <w:lvlText w:val="(%1)"/>
      <w:numFmt w:val="lowerLetter"/>
      <w:start w:val="27"/>
    </w:lvl>
  </w:abstractNum>
  <w:abstractNum w:abstractNumId="174">
    <w:nsid w:val="4C502870"/>
    <w:multiLevelType w:val="hybridMultilevel"/>
    <w:lvl w:ilvl="0">
      <w:lvlJc w:val="left"/>
      <w:lvlText w:val="%1."/>
      <w:numFmt w:val="decimal"/>
      <w:start w:val="5"/>
    </w:lvl>
  </w:abstractNum>
  <w:abstractNum w:abstractNumId="175">
    <w:nsid w:val="1DE8725A"/>
    <w:multiLevelType w:val="hybridMultilevel"/>
    <w:lvl w:ilvl="0">
      <w:lvlJc w:val="left"/>
      <w:lvlText w:val="(%1)"/>
      <w:numFmt w:val="lowerLetter"/>
      <w:start w:val="1"/>
    </w:lvl>
  </w:abstractNum>
  <w:abstractNum w:abstractNumId="176">
    <w:nsid w:val="6A37288A"/>
    <w:multiLevelType w:val="hybridMultilevel"/>
    <w:lvl w:ilvl="0">
      <w:lvlJc w:val="left"/>
      <w:lvlText w:val="(%1)"/>
      <w:numFmt w:val="lowerLetter"/>
      <w:start w:val="1"/>
    </w:lvl>
  </w:abstractNum>
  <w:abstractNum w:abstractNumId="177">
    <w:nsid w:val="8F8B73F"/>
    <w:multiLevelType w:val="hybridMultilevel"/>
    <w:lvl w:ilvl="0">
      <w:lvlJc w:val="left"/>
      <w:lvlText w:val="(%1)"/>
      <w:numFmt w:val="lowerLetter"/>
      <w:start w:val="1"/>
    </w:lvl>
  </w:abstractNum>
  <w:abstractNum w:abstractNumId="178">
    <w:nsid w:val="CA6B462"/>
    <w:multiLevelType w:val="hybridMultilevel"/>
    <w:lvl w:ilvl="0">
      <w:lvlJc w:val="left"/>
      <w:lvlText w:val="(%1)"/>
      <w:numFmt w:val="lowerLetter"/>
      <w:start w:val="1"/>
    </w:lvl>
  </w:abstractNum>
  <w:abstractNum w:abstractNumId="179">
    <w:nsid w:val="763CB680"/>
    <w:multiLevelType w:val="hybridMultilevel"/>
    <w:lvl w:ilvl="0">
      <w:lvlJc w:val="left"/>
      <w:lvlText w:val="(%1)"/>
      <w:numFmt w:val="lowerLetter"/>
      <w:start w:val="1"/>
    </w:lvl>
  </w:abstractNum>
  <w:abstractNum w:abstractNumId="180">
    <w:nsid w:val="15B71329"/>
    <w:multiLevelType w:val="hybridMultilevel"/>
    <w:lvl w:ilvl="0">
      <w:lvlJc w:val="left"/>
      <w:lvlText w:val="%1."/>
      <w:numFmt w:val="decimal"/>
      <w:start w:val="6"/>
    </w:lvl>
  </w:abstractNum>
  <w:abstractNum w:abstractNumId="181">
    <w:nsid w:val="3DA97044"/>
    <w:multiLevelType w:val="hybridMultilevel"/>
    <w:lvl w:ilvl="0">
      <w:lvlJc w:val="left"/>
      <w:lvlText w:val="%1."/>
      <w:numFmt w:val="decimal"/>
      <w:start w:val="7"/>
    </w:lvl>
  </w:abstractNum>
  <w:abstractNum w:abstractNumId="182">
    <w:nsid w:val="1CDCE2DE"/>
    <w:multiLevelType w:val="hybridMultilevel"/>
    <w:lvl w:ilvl="0">
      <w:lvlJc w:val="left"/>
      <w:lvlText w:val="(%1)"/>
      <w:numFmt w:val="lowerLetter"/>
      <w:start w:val="1"/>
    </w:lvl>
  </w:abstractNum>
  <w:abstractNum w:abstractNumId="183">
    <w:nsid w:val="69D3947C"/>
    <w:multiLevelType w:val="hybridMultilevel"/>
    <w:lvl w:ilvl="0">
      <w:lvlJc w:val="left"/>
      <w:lvlText w:val="%1."/>
      <w:numFmt w:val="decimal"/>
      <w:start w:val="9"/>
    </w:lvl>
  </w:abstractNum>
  <w:abstractNum w:abstractNumId="184">
    <w:nsid w:val="2539DFA5"/>
    <w:multiLevelType w:val="hybridMultilevel"/>
    <w:lvl w:ilvl="0">
      <w:lvlJc w:val="left"/>
      <w:lvlText w:val="(%1)"/>
      <w:numFmt w:val="lowerLetter"/>
      <w:start w:val="1"/>
    </w:lvl>
  </w:abstractNum>
  <w:abstractNum w:abstractNumId="185">
    <w:nsid w:val="2DB88089"/>
    <w:multiLevelType w:val="hybridMultilevel"/>
    <w:lvl w:ilvl="0">
      <w:lvlJc w:val="left"/>
      <w:lvlText w:val="%1."/>
      <w:numFmt w:val="decimal"/>
      <w:start w:val="10"/>
    </w:lvl>
  </w:abstractNum>
  <w:abstractNum w:abstractNumId="186">
    <w:nsid w:val="706B674E"/>
    <w:multiLevelType w:val="hybridMultilevel"/>
    <w:lvl w:ilvl="0">
      <w:lvlJc w:val="left"/>
      <w:lvlText w:val="(%1)"/>
      <w:numFmt w:val="lowerLetter"/>
      <w:start w:val="1"/>
    </w:lvl>
  </w:abstractNum>
  <w:abstractNum w:abstractNumId="187">
    <w:nsid w:val="2C106A57"/>
    <w:multiLevelType w:val="hybridMultilevel"/>
    <w:lvl w:ilvl="0">
      <w:lvlJc w:val="left"/>
      <w:lvlText w:val="(%1)"/>
      <w:numFmt w:val="lowerLetter"/>
      <w:start w:val="1"/>
    </w:lvl>
  </w:abstractNum>
  <w:abstractNum w:abstractNumId="188">
    <w:nsid w:val="684EED59"/>
    <w:multiLevelType w:val="hybridMultilevel"/>
    <w:lvl w:ilvl="0">
      <w:lvlJc w:val="left"/>
      <w:lvlText w:val="(%1)"/>
      <w:numFmt w:val="lowerLetter"/>
      <w:start w:val="1"/>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
      <w:numFmt w:val="bullet"/>
      <w:start w:val="1"/>
    </w:lvl>
  </w:abstractNum>
  <w:abstractNum w:abstractNumId="191">
    <w:nsid w:val="20F4BDAD"/>
    <w:multiLevelType w:val="hybridMultilevel"/>
    <w:lvl w:ilvl="0">
      <w:lvlJc w:val="left"/>
      <w:lvlText w:val="$"/>
      <w:numFmt w:val="bullet"/>
      <w:start w:val="1"/>
    </w:lvl>
  </w:abstractNum>
  <w:abstractNum w:abstractNumId="192">
    <w:nsid w:val="639DEFAC"/>
    <w:multiLevelType w:val="hybridMultilevel"/>
    <w:lvl w:ilvl="0">
      <w:lvlJc w:val="left"/>
      <w:lvlText w:val="$"/>
      <w:numFmt w:val="bullet"/>
      <w:start w:val="1"/>
    </w:lvl>
  </w:abstractNum>
  <w:abstractNum w:abstractNumId="193">
    <w:nsid w:val="501F9786"/>
    <w:multiLevelType w:val="hybridMultilevel"/>
    <w:lvl w:ilvl="0">
      <w:lvlJc w:val="left"/>
      <w:lvlText w:val="$"/>
      <w:numFmt w:val="bullet"/>
      <w:start w:val="1"/>
    </w:lvl>
  </w:abstractNum>
  <w:abstractNum w:abstractNumId="194">
    <w:nsid w:val="6B057295"/>
    <w:multiLevelType w:val="hybridMultilevel"/>
    <w:lvl w:ilvl="0">
      <w:lvlJc w:val="left"/>
      <w:lvlText w:val="(%1)"/>
      <w:numFmt w:val="lowerLetter"/>
      <w:start w:val="1"/>
    </w:lvl>
  </w:abstractNum>
  <w:abstractNum w:abstractNumId="195">
    <w:nsid w:val="2771AC80"/>
    <w:multiLevelType w:val="hybridMultilevel"/>
    <w:lvl w:ilvl="0">
      <w:lvlJc w:val="left"/>
      <w:lvlText w:val="%1."/>
      <w:numFmt w:val="decimal"/>
      <w:start w:val="12"/>
    </w:lvl>
  </w:abstractNum>
  <w:abstractNum w:abstractNumId="196">
    <w:nsid w:val="1C4A08EC"/>
    <w:multiLevelType w:val="hybridMultilevel"/>
    <w:lvl w:ilvl="0">
      <w:lvlJc w:val="left"/>
      <w:lvlText w:val="(%1)"/>
      <w:numFmt w:val="lowerRoman"/>
      <w:start w:val="1"/>
    </w:lvl>
  </w:abstractNum>
  <w:abstractNum w:abstractNumId="197">
    <w:nsid w:val="1958BD17"/>
    <w:multiLevelType w:val="hybridMultilevel"/>
    <w:lvl w:ilvl="0">
      <w:lvlJc w:val="left"/>
      <w:lvlText w:val="(%1)"/>
      <w:numFmt w:val="lowerLetter"/>
      <w:start w:val="1"/>
    </w:lvl>
  </w:abstractNum>
  <w:abstractNum w:abstractNumId="198">
    <w:nsid w:val="4E647FE4"/>
    <w:multiLevelType w:val="hybridMultilevel"/>
    <w:lvl w:ilvl="0">
      <w:lvlJc w:val="left"/>
      <w:lvlText w:val="(%1)"/>
      <w:numFmt w:val="lowerLetter"/>
      <w:start w:val="1"/>
    </w:lvl>
  </w:abstractNum>
  <w:abstractNum w:abstractNumId="199">
    <w:nsid w:val="E0BB885"/>
    <w:multiLevelType w:val="hybridMultilevel"/>
    <w:lvl w:ilvl="0">
      <w:lvlJc w:val="left"/>
      <w:lvlText w:val="(%1)"/>
      <w:numFmt w:val="lowerLetter"/>
      <w:start w:val="1"/>
    </w:lvl>
  </w:abstractNum>
  <w:abstractNum w:abstractNumId="200">
    <w:nsid w:val="565976F1"/>
    <w:multiLevelType w:val="hybridMultilevel"/>
    <w:lvl w:ilvl="0">
      <w:lvlJc w:val="left"/>
      <w:lvlText w:val="•"/>
      <w:numFmt w:val="bullet"/>
      <w:start w:val="1"/>
    </w:lvl>
  </w:abstractNum>
  <w:abstractNum w:abstractNumId="201">
    <w:nsid w:val="64212B8C"/>
    <w:multiLevelType w:val="hybridMultilevel"/>
    <w:lvl w:ilvl="0">
      <w:lvlJc w:val="left"/>
      <w:lvlText w:val="•"/>
      <w:numFmt w:val="bullet"/>
      <w:start w:val="1"/>
    </w:lvl>
  </w:abstractNum>
  <w:abstractNum w:abstractNumId="202">
    <w:nsid w:val="5C17530C"/>
    <w:multiLevelType w:val="hybridMultilevel"/>
    <w:lvl w:ilvl="0">
      <w:lvlJc w:val="left"/>
      <w:lvlText w:val="%1."/>
      <w:numFmt w:val="decimal"/>
      <w:start w:val="14"/>
    </w:lvl>
  </w:abstractNum>
  <w:abstractNum w:abstractNumId="203">
    <w:nsid w:val="19A52566"/>
    <w:multiLevelType w:val="hybridMultilevel"/>
    <w:lvl w:ilvl="0">
      <w:lvlJc w:val="left"/>
      <w:lvlText w:val="(%1)"/>
      <w:numFmt w:val="lowerLetter"/>
      <w:start w:val="1"/>
    </w:lvl>
  </w:abstractNum>
  <w:abstractNum w:abstractNumId="204">
    <w:nsid w:val="335A1DF1"/>
    <w:multiLevelType w:val="hybridMultilevel"/>
    <w:lvl w:ilvl="0">
      <w:lvlJc w:val="left"/>
      <w:lvlText w:val="(%1)"/>
      <w:numFmt w:val="lowerLetter"/>
      <w:start w:val="1"/>
    </w:lvl>
  </w:abstractNum>
  <w:abstractNum w:abstractNumId="205">
    <w:nsid w:val="28677B7C"/>
    <w:multiLevelType w:val="hybridMultilevel"/>
    <w:lvl w:ilvl="0">
      <w:lvlJc w:val="left"/>
      <w:lvlText w:val="%1."/>
      <w:numFmt w:val="decimal"/>
      <w:start w:val="15"/>
    </w:lvl>
  </w:abstractNum>
  <w:abstractNum w:abstractNumId="206">
    <w:nsid w:val="378D97C0"/>
    <w:multiLevelType w:val="hybridMultilevel"/>
    <w:lvl w:ilvl="0">
      <w:lvlJc w:val="left"/>
      <w:lvlText w:val="(%1)"/>
      <w:numFmt w:val="lowerLetter"/>
      <w:start w:val="1"/>
    </w:lvl>
  </w:abstractNum>
  <w:abstractNum w:abstractNumId="207">
    <w:nsid w:val="1D91467C"/>
    <w:multiLevelType w:val="hybridMultilevel"/>
    <w:lvl w:ilvl="0">
      <w:lvlJc w:val="left"/>
      <w:lvlText w:val="(%1)"/>
      <w:numFmt w:val="lowerLetter"/>
      <w:start w:val="1"/>
    </w:lvl>
  </w:abstractNum>
  <w:abstractNum w:abstractNumId="208">
    <w:nsid w:val="316032BB"/>
    <w:multiLevelType w:val="hybridMultilevel"/>
    <w:lvl w:ilvl="0">
      <w:lvlJc w:val="left"/>
      <w:lvlText w:val="(%1)"/>
      <w:numFmt w:val="lowerLetter"/>
      <w:start w:val="1"/>
    </w:lvl>
  </w:abstractNum>
  <w:abstractNum w:abstractNumId="209">
    <w:nsid w:val="44344C22"/>
    <w:multiLevelType w:val="hybridMultilevel"/>
    <w:lvl w:ilvl="0">
      <w:lvlJc w:val="left"/>
      <w:lvlText w:val="%1."/>
      <w:numFmt w:val="decimal"/>
      <w:start w:val="16"/>
    </w:lvl>
  </w:abstractNum>
  <w:abstractNum w:abstractNumId="210">
    <w:nsid w:val="13CDFCFC"/>
    <w:multiLevelType w:val="hybridMultilevel"/>
    <w:lvl w:ilvl="0">
      <w:lvlJc w:val="left"/>
      <w:lvlText w:val="%1."/>
      <w:numFmt w:val="decimal"/>
      <w:start w:val="17"/>
    </w:lvl>
  </w:abstractNum>
  <w:abstractNum w:abstractNumId="211">
    <w:nsid w:val="471745E4"/>
    <w:multiLevelType w:val="hybridMultilevel"/>
    <w:lvl w:ilvl="0">
      <w:lvlJc w:val="left"/>
      <w:lvlText w:val="(%1)"/>
      <w:numFmt w:val="lowerLetter"/>
      <w:start w:val="1"/>
    </w:lvl>
  </w:abstractNum>
  <w:abstractNum w:abstractNumId="212">
    <w:nsid w:val="1DDBC66"/>
    <w:multiLevelType w:val="hybridMultilevel"/>
    <w:lvl w:ilvl="0">
      <w:lvlJc w:val="left"/>
      <w:lvlText w:val="%1."/>
      <w:numFmt w:val="decimal"/>
      <w:start w:val="18"/>
    </w:lvl>
  </w:abstractNum>
  <w:abstractNum w:abstractNumId="213">
    <w:nsid w:val="30AADFDA"/>
    <w:multiLevelType w:val="hybridMultilevel"/>
    <w:lvl w:ilvl="0">
      <w:lvlJc w:val="left"/>
      <w:lvlText w:val="(%1)"/>
      <w:numFmt w:val="lowerLetter"/>
      <w:start w:val="1"/>
    </w:lvl>
  </w:abstractNum>
  <w:abstractNum w:abstractNumId="214">
    <w:nsid w:val="30EADA61"/>
    <w:multiLevelType w:val="hybridMultilevel"/>
    <w:lvl w:ilvl="0">
      <w:lvlJc w:val="left"/>
      <w:lvlText w:val="%1."/>
      <w:numFmt w:val="decimal"/>
      <w:start w:val="20"/>
    </w:lvl>
  </w:abstractNum>
  <w:abstractNum w:abstractNumId="215">
    <w:nsid w:val="27179C0B"/>
    <w:multiLevelType w:val="hybridMultilevel"/>
    <w:lvl w:ilvl="0">
      <w:lvlJc w:val="left"/>
      <w:lvlText w:val="(%1)"/>
      <w:numFmt w:val="lowerLetter"/>
      <w:start w:val="1"/>
    </w:lvl>
  </w:abstractNum>
  <w:abstractNum w:abstractNumId="216">
    <w:nsid w:val="5E636063"/>
    <w:multiLevelType w:val="hybridMultilevel"/>
    <w:lvl w:ilvl="0">
      <w:lvlJc w:val="left"/>
      <w:lvlText w:val="(%1)"/>
      <w:numFmt w:val="lowerLetter"/>
      <w:start w:val="1"/>
    </w:lvl>
  </w:abstractNum>
  <w:abstractNum w:abstractNumId="217">
    <w:nsid w:val="215641AF"/>
    <w:multiLevelType w:val="hybridMultilevel"/>
    <w:lvl w:ilvl="0">
      <w:lvlJc w:val="left"/>
      <w:lvlText w:val="%1."/>
      <w:numFmt w:val="decimal"/>
      <w:start w:val="21"/>
    </w:lvl>
  </w:abstractNum>
  <w:abstractNum w:abstractNumId="218">
    <w:nsid w:val="53280662"/>
    <w:multiLevelType w:val="hybridMultilevel"/>
    <w:lvl w:ilvl="0">
      <w:lvlJc w:val="left"/>
      <w:lvlText w:val="(%1)"/>
      <w:numFmt w:val="lowerLetter"/>
      <w:start w:val="1"/>
    </w:lvl>
  </w:abstractNum>
  <w:abstractNum w:abstractNumId="219">
    <w:nsid w:val="46B24DBC"/>
    <w:multiLevelType w:val="hybridMultilevel"/>
    <w:lvl w:ilvl="0">
      <w:lvlJc w:val="left"/>
      <w:lvlText w:val="%1."/>
      <w:numFmt w:val="decimal"/>
      <w:start w:val="22"/>
    </w:lvl>
  </w:abstractNum>
  <w:abstractNum w:abstractNumId="220">
    <w:nsid w:val="75B52783"/>
    <w:multiLevelType w:val="hybridMultilevel"/>
    <w:lvl w:ilvl="0">
      <w:lvlJc w:val="left"/>
      <w:lvlText w:val="%1."/>
      <w:numFmt w:val="decimal"/>
      <w:start w:val="23"/>
    </w:lvl>
  </w:abstractNum>
  <w:abstractNum w:abstractNumId="221">
    <w:nsid w:val="57CE66B4"/>
    <w:multiLevelType w:val="hybridMultilevel"/>
    <w:lvl w:ilvl="0">
      <w:lvlJc w:val="left"/>
      <w:lvlText w:val="•"/>
      <w:numFmt w:val="bullet"/>
      <w:start w:val="1"/>
    </w:lvl>
  </w:abstractNum>
  <w:abstractNum w:abstractNumId="222">
    <w:nsid w:val="67A70B69"/>
    <w:multiLevelType w:val="hybridMultilevel"/>
    <w:lvl w:ilvl="0">
      <w:lvlJc w:val="left"/>
      <w:lvlText w:val="(%1)"/>
      <w:numFmt w:val="lowerRoman"/>
      <w:start w:val="4"/>
    </w:lvl>
  </w:abstractNum>
  <w:abstractNum w:abstractNumId="223">
    <w:nsid w:val="5953172F"/>
    <w:multiLevelType w:val="hybridMultilevel"/>
    <w:lvl w:ilvl="0">
      <w:lvlJc w:val="left"/>
      <w:lvlText w:val="%1."/>
      <w:numFmt w:val="decimal"/>
      <w:start w:val="24"/>
    </w:lvl>
  </w:abstractNum>
  <w:abstractNum w:abstractNumId="224">
    <w:nsid w:val="27EDFE3A"/>
    <w:multiLevelType w:val="hybridMultilevel"/>
    <w:lvl w:ilvl="0">
      <w:lvlJc w:val="left"/>
      <w:lvlText w:val="(%1)"/>
      <w:numFmt w:val="lowerLetter"/>
      <w:start w:val="1"/>
    </w:lvl>
  </w:abstractNum>
  <w:abstractNum w:abstractNumId="225">
    <w:nsid w:val="52AC7DFF"/>
    <w:multiLevelType w:val="hybridMultilevel"/>
    <w:lvl w:ilvl="0">
      <w:lvlJc w:val="left"/>
      <w:lvlText w:val="$"/>
      <w:numFmt w:val="bullet"/>
      <w:start w:val="1"/>
    </w:lvl>
  </w:abstractNum>
  <w:abstractNum w:abstractNumId="226">
    <w:nsid w:val="C4C3AF"/>
    <w:multiLevelType w:val="hybridMultilevel"/>
    <w:lvl w:ilvl="0">
      <w:lvlJc w:val="left"/>
      <w:lvlText w:val="$"/>
      <w:numFmt w:val="bullet"/>
      <w:start w:val="1"/>
    </w:lvl>
  </w:abstractNum>
  <w:abstractNum w:abstractNumId="227">
    <w:nsid w:val="44380727"/>
    <w:multiLevelType w:val="hybridMultilevel"/>
    <w:lvl w:ilvl="0">
      <w:lvlJc w:val="left"/>
      <w:lvlText w:val="%1."/>
      <w:numFmt w:val="decimal"/>
      <w:start w:val="1"/>
    </w:lvl>
  </w:abstractNum>
  <w:abstractNum w:abstractNumId="228">
    <w:nsid w:val="6C053B16"/>
    <w:multiLevelType w:val="hybridMultilevel"/>
    <w:lvl w:ilvl="0">
      <w:lvlJc w:val="left"/>
      <w:lvlText w:val="%1."/>
      <w:numFmt w:val="decimal"/>
      <w:start w:val="2"/>
    </w:lvl>
  </w:abstractNum>
  <w:abstractNum w:abstractNumId="229">
    <w:nsid w:val="4F294393"/>
    <w:multiLevelType w:val="hybridMultilevel"/>
    <w:lvl w:ilvl="0">
      <w:lvlJc w:val="left"/>
      <w:lvlText w:val="%1."/>
      <w:numFmt w:val="decimal"/>
      <w:start w:val="3"/>
    </w:lvl>
  </w:abstractNum>
  <w:abstractNum w:abstractNumId="230">
    <w:nsid w:val="5243BFAC"/>
    <w:multiLevelType w:val="hybridMultilevel"/>
    <w:lvl w:ilvl="0">
      <w:lvlJc w:val="left"/>
      <w:lvlText w:val="*"/>
      <w:numFmt w:val="bullet"/>
      <w:start w:val="1"/>
    </w:lvl>
  </w:abstractNum>
  <w:abstractNum w:abstractNumId="231">
    <w:nsid w:val="425EB207"/>
    <w:multiLevelType w:val="hybridMultilevel"/>
    <w:lvl w:ilvl="0">
      <w:lvlJc w:val="left"/>
      <w:lvlText w:val="*"/>
      <w:numFmt w:val="bullet"/>
      <w:start w:val="1"/>
    </w:lvl>
  </w:abstractNum>
  <w:abstractNum w:abstractNumId="232">
    <w:nsid w:val="334A6F1F"/>
    <w:multiLevelType w:val="hybridMultilevel"/>
    <w:lvl w:ilvl="0">
      <w:lvlJc w:val="left"/>
      <w:lvlText w:val="†"/>
      <w:numFmt w:val="bullet"/>
      <w:start w:val="1"/>
    </w:lvl>
  </w:abstractNum>
  <w:abstractNum w:abstractNumId="233">
    <w:nsid w:val="2E5B12B8"/>
    <w:multiLevelType w:val="hybridMultilevel"/>
    <w:lvl w:ilvl="0">
      <w:lvlJc w:val="left"/>
      <w:lvlText w:val="+"/>
      <w:numFmt w:val="bullet"/>
      <w:start w:val="1"/>
    </w:lvl>
  </w:abstractNum>
  <w:abstractNum w:abstractNumId="234">
    <w:nsid w:val="5C03D76D"/>
    <w:multiLevelType w:val="hybridMultilevel"/>
    <w:lvl w:ilvl="0">
      <w:lvlJc w:val="left"/>
      <w:lvlText w:val="#"/>
      <w:numFmt w:val="bullet"/>
      <w:start w:val="1"/>
    </w:lvl>
  </w:abstractNum>
  <w:abstractNum w:abstractNumId="235">
    <w:nsid w:val="66A48D11"/>
    <w:multiLevelType w:val="hybridMultilevel"/>
    <w:lvl w:ilvl="0">
      <w:lvlJc w:val="left"/>
      <w:lvlText w:val="(%1)"/>
      <w:numFmt w:val="decimal"/>
      <w:start w:val="1"/>
    </w:lvl>
    <w:lvl w:ilvl="1">
      <w:lvlJc w:val="left"/>
      <w:lvlText w:val="(%2)"/>
      <w:numFmt w:val="lowerRoman"/>
      <w:start w:val="1"/>
    </w:lvl>
  </w:abstractNum>
  <w:abstractNum w:abstractNumId="236">
    <w:nsid w:val="56C28E34"/>
    <w:multiLevelType w:val="hybridMultilevel"/>
    <w:lvl w:ilvl="0">
      <w:lvlJc w:val="left"/>
      <w:lvlText w:val="%1"/>
      <w:numFmt w:val="decimal"/>
      <w:start w:val="1"/>
    </w:lvl>
    <w:lvl w:ilvl="1">
      <w:lvlJc w:val="left"/>
      <w:lvlText w:val="(%2)"/>
      <w:numFmt w:val="lowerRoman"/>
      <w:start w:val="3"/>
    </w:lvl>
  </w:abstractNum>
  <w:abstractNum w:abstractNumId="237">
    <w:nsid w:val="13916F2D"/>
    <w:multiLevelType w:val="hybridMultilevel"/>
    <w:lvl w:ilvl="0">
      <w:lvlJc w:val="left"/>
      <w:lvlText w:val="(%1)"/>
      <w:numFmt w:val="decimal"/>
      <w:start w:val="2"/>
    </w:lvl>
    <w:lvl w:ilvl="1">
      <w:lvlJc w:val="left"/>
      <w:lvlText w:val="%2"/>
      <w:numFmt w:val="lowerRoman"/>
      <w:start w:val="1"/>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2024-06-20T23:20:02Z</dcterms:created>
  <dcterms:modified xsi:type="dcterms:W3CDTF">2024-06-20T23:20:02Z</dcterms:modified>
</cp:coreProperties>
</file>