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258445</wp:posOffset>
            </wp:positionV>
            <wp:extent cx="16859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5925" cy="571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202565</wp:posOffset>
            </wp:positionV>
            <wp:extent cx="16916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September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264795</wp:posOffset>
            </wp:positionV>
            <wp:extent cx="1691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Talen Energy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212725</wp:posOffset>
            </wp:positionV>
            <wp:extent cx="1691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100" w:type="dxa"/>
        <w:tblCellMar>
          <w:top w:w="0" w:type="dxa"/>
          <w:left w:w="0" w:type="dxa"/>
          <w:bottom w:w="0" w:type="dxa"/>
          <w:right w:w="0" w:type="dxa"/>
        </w:tblCellMar>
      </w:tblPr>
      <w:tr>
        <w:trPr>
          <w:trHeight w:val="168"/>
        </w:trPr>
        <w:tc>
          <w:tcPr>
            <w:tcW w:w="39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001-37388</w:t>
            </w: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jc w:val="center"/>
              <w:ind w:right="584"/>
              <w:spacing w:after="0"/>
              <w:rPr>
                <w:sz w:val="20"/>
                <w:szCs w:val="20"/>
                <w:color w:val="auto"/>
              </w:rPr>
            </w:pPr>
            <w:r>
              <w:rPr>
                <w:rFonts w:ascii="Times New Roman" w:cs="Times New Roman" w:eastAsia="Times New Roman" w:hAnsi="Times New Roman"/>
                <w:sz w:val="12"/>
                <w:szCs w:val="12"/>
                <w:b w:val="1"/>
                <w:bCs w:val="1"/>
                <w:color w:val="auto"/>
                <w:w w:val="96"/>
              </w:rPr>
              <w:t>47-1197305</w:t>
            </w:r>
          </w:p>
        </w:tc>
      </w:tr>
      <w:tr>
        <w:trPr>
          <w:trHeight w:val="133"/>
        </w:trPr>
        <w:tc>
          <w:tcPr>
            <w:tcW w:w="392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w w:val="97"/>
              </w:rPr>
              <w:t>(State or other jurisdiction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1"/>
                <w:szCs w:val="11"/>
                <w:color w:val="auto"/>
                <w:w w:val="98"/>
              </w:rPr>
              <w:t>(Commission File Number)</w:t>
            </w:r>
          </w:p>
        </w:tc>
        <w:tc>
          <w:tcPr>
            <w:tcW w:w="3600" w:type="dxa"/>
            <w:vAlign w:val="bottom"/>
          </w:tcPr>
          <w:p>
            <w:pPr>
              <w:jc w:val="center"/>
              <w:ind w:right="584"/>
              <w:spacing w:after="0"/>
              <w:rPr>
                <w:sz w:val="20"/>
                <w:szCs w:val="20"/>
                <w:color w:val="auto"/>
              </w:rPr>
            </w:pPr>
            <w:r>
              <w:rPr>
                <w:rFonts w:ascii="Times New Roman" w:cs="Times New Roman" w:eastAsia="Times New Roman" w:hAnsi="Times New Roman"/>
                <w:sz w:val="11"/>
                <w:szCs w:val="11"/>
                <w:color w:val="auto"/>
                <w:w w:val="95"/>
              </w:rPr>
              <w:t>(IRS Employer</w:t>
            </w:r>
          </w:p>
        </w:tc>
      </w:tr>
      <w:tr>
        <w:trPr>
          <w:trHeight w:val="140"/>
        </w:trPr>
        <w:tc>
          <w:tcPr>
            <w:tcW w:w="392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0" w:type="dxa"/>
            <w:vAlign w:val="bottom"/>
          </w:tcPr>
          <w:p>
            <w:pPr>
              <w:jc w:val="center"/>
              <w:ind w:right="584"/>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457"/>
        </w:trPr>
        <w:tc>
          <w:tcPr>
            <w:tcW w:w="3920" w:type="dxa"/>
            <w:vAlign w:val="bottom"/>
          </w:tcPr>
          <w:p>
            <w:pPr>
              <w:jc w:val="center"/>
              <w:ind w:left="1543"/>
              <w:spacing w:after="0"/>
              <w:rPr>
                <w:sz w:val="20"/>
                <w:szCs w:val="20"/>
                <w:color w:val="auto"/>
              </w:rPr>
            </w:pPr>
            <w:r>
              <w:rPr>
                <w:rFonts w:ascii="Times New Roman" w:cs="Times New Roman" w:eastAsia="Times New Roman" w:hAnsi="Times New Roman"/>
                <w:sz w:val="12"/>
                <w:szCs w:val="12"/>
                <w:b w:val="1"/>
                <w:bCs w:val="1"/>
                <w:color w:val="auto"/>
                <w:w w:val="99"/>
              </w:rPr>
              <w:t>2929 Allen Pkwy, Suite 2200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59"/>
        </w:trPr>
        <w:tc>
          <w:tcPr>
            <w:tcW w:w="3920" w:type="dxa"/>
            <w:vAlign w:val="bottom"/>
          </w:tcPr>
          <w:p>
            <w:pPr>
              <w:jc w:val="center"/>
              <w:ind w:left="1523"/>
              <w:spacing w:after="0"/>
              <w:rPr>
                <w:sz w:val="20"/>
                <w:szCs w:val="20"/>
                <w:color w:val="auto"/>
              </w:rPr>
            </w:pPr>
            <w:r>
              <w:rPr>
                <w:rFonts w:ascii="Times New Roman" w:cs="Times New Roman" w:eastAsia="Times New Roman" w:hAnsi="Times New Roman"/>
                <w:sz w:val="12"/>
                <w:szCs w:val="12"/>
                <w:b w:val="1"/>
                <w:bCs w:val="1"/>
                <w:color w:val="auto"/>
                <w:w w:val="99"/>
              </w:rPr>
              <w:t>Houston, TX</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0" w:type="dxa"/>
            <w:vAlign w:val="bottom"/>
          </w:tcPr>
          <w:p>
            <w:pPr>
              <w:jc w:val="right"/>
              <w:ind w:right="2544"/>
              <w:spacing w:after="0"/>
              <w:rPr>
                <w:sz w:val="20"/>
                <w:szCs w:val="20"/>
                <w:color w:val="auto"/>
              </w:rPr>
            </w:pPr>
            <w:r>
              <w:rPr>
                <w:rFonts w:ascii="Times New Roman" w:cs="Times New Roman" w:eastAsia="Times New Roman" w:hAnsi="Times New Roman"/>
                <w:sz w:val="12"/>
                <w:szCs w:val="12"/>
                <w:b w:val="1"/>
                <w:bCs w:val="1"/>
                <w:color w:val="auto"/>
              </w:rPr>
              <w:t>77019</w:t>
            </w:r>
          </w:p>
        </w:tc>
      </w:tr>
      <w:tr>
        <w:trPr>
          <w:trHeight w:val="167"/>
        </w:trPr>
        <w:tc>
          <w:tcPr>
            <w:tcW w:w="3920" w:type="dxa"/>
            <w:vAlign w:val="bottom"/>
          </w:tcPr>
          <w:p>
            <w:pPr>
              <w:jc w:val="center"/>
              <w:ind w:left="1523"/>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jc w:val="center"/>
              <w:ind w:right="1824"/>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17"/>
        </w:trPr>
        <w:tc>
          <w:tcPr>
            <w:tcW w:w="3920" w:type="dxa"/>
            <w:vAlign w:val="bottom"/>
          </w:tcPr>
          <w:p>
            <w:pPr>
              <w:spacing w:after="0"/>
              <w:rPr>
                <w:sz w:val="24"/>
                <w:szCs w:val="24"/>
                <w:color w:val="auto"/>
              </w:rPr>
            </w:pPr>
          </w:p>
        </w:tc>
        <w:tc>
          <w:tcPr>
            <w:tcW w:w="2600" w:type="dxa"/>
            <w:vAlign w:val="bottom"/>
            <w:gridSpan w:val="3"/>
          </w:tcPr>
          <w:p>
            <w:pPr>
              <w:jc w:val="center"/>
              <w:ind w:left="403"/>
              <w:spacing w:after="0"/>
              <w:rPr>
                <w:sz w:val="20"/>
                <w:szCs w:val="20"/>
                <w:color w:val="auto"/>
              </w:rPr>
            </w:pPr>
            <w:r>
              <w:rPr>
                <w:rFonts w:ascii="Times New Roman" w:cs="Times New Roman" w:eastAsia="Times New Roman" w:hAnsi="Times New Roman"/>
                <w:sz w:val="12"/>
                <w:szCs w:val="12"/>
                <w:b w:val="1"/>
                <w:bCs w:val="1"/>
                <w:color w:val="auto"/>
                <w:w w:val="98"/>
              </w:rPr>
              <w:t>(888) 211-6011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42"/>
        </w:trPr>
        <w:tc>
          <w:tcPr>
            <w:tcW w:w="3920" w:type="dxa"/>
            <w:vAlign w:val="bottom"/>
          </w:tcPr>
          <w:p>
            <w:pPr>
              <w:spacing w:after="0"/>
              <w:rPr>
                <w:sz w:val="12"/>
                <w:szCs w:val="12"/>
                <w:color w:val="auto"/>
              </w:rPr>
            </w:pPr>
          </w:p>
        </w:tc>
        <w:tc>
          <w:tcPr>
            <w:tcW w:w="336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3600" w:type="dxa"/>
            <w:vAlign w:val="bottom"/>
          </w:tcPr>
          <w:p>
            <w:pPr>
              <w:spacing w:after="0"/>
              <w:rPr>
                <w:sz w:val="12"/>
                <w:szCs w:val="12"/>
                <w:color w:val="auto"/>
              </w:rPr>
            </w:pPr>
          </w:p>
        </w:tc>
      </w:tr>
    </w:tbl>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234315</wp:posOffset>
            </wp:positionV>
            <wp:extent cx="1691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1640" cy="571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360" w:hanging="342"/>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7" w:lineRule="exact"/>
        <w:rPr>
          <w:rFonts w:ascii="MS PGothic" w:cs="MS PGothic" w:eastAsia="MS PGothic" w:hAnsi="MS PGothic"/>
          <w:sz w:val="12"/>
          <w:szCs w:val="12"/>
          <w:color w:val="auto"/>
        </w:rPr>
      </w:pPr>
    </w:p>
    <w:p>
      <w:pPr>
        <w:ind w:left="360" w:hanging="342"/>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2"/>
          <w:szCs w:val="12"/>
          <w:color w:val="auto"/>
        </w:rPr>
      </w:pPr>
    </w:p>
    <w:p>
      <w:pPr>
        <w:ind w:left="360" w:hanging="342"/>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2"/>
          <w:szCs w:val="12"/>
          <w:color w:val="auto"/>
        </w:rPr>
      </w:pPr>
    </w:p>
    <w:p>
      <w:pPr>
        <w:ind w:left="360" w:hanging="342"/>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3760" w:type="dxa"/>
            <w:vAlign w:val="bottom"/>
            <w:gridSpan w:val="5"/>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40" w:type="dxa"/>
            <w:vAlign w:val="bottom"/>
            <w:vMerge w:val="restart"/>
          </w:tcPr>
          <w:p>
            <w:pPr>
              <w:ind w:left="17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620" w:type="dxa"/>
            <w:vAlign w:val="bottom"/>
          </w:tcPr>
          <w:p>
            <w:pPr>
              <w:jc w:val="center"/>
              <w:ind w:right="563"/>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5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540" w:type="dxa"/>
            <w:vAlign w:val="bottom"/>
          </w:tcPr>
          <w:p>
            <w:pPr>
              <w:ind w:left="1220"/>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3"/>
          </w:tcPr>
          <w:p>
            <w:pPr>
              <w:jc w:val="center"/>
              <w:ind w:right="760"/>
              <w:spacing w:after="0"/>
              <w:rPr>
                <w:sz w:val="20"/>
                <w:szCs w:val="20"/>
                <w:color w:val="auto"/>
              </w:rPr>
            </w:pPr>
            <w:r>
              <w:rPr>
                <w:rFonts w:ascii="Times New Roman" w:cs="Times New Roman" w:eastAsia="Times New Roman" w:hAnsi="Times New Roman"/>
                <w:sz w:val="11"/>
                <w:szCs w:val="11"/>
                <w:color w:val="auto"/>
                <w:w w:val="93"/>
              </w:rPr>
              <w:t>TLN</w:t>
            </w:r>
          </w:p>
        </w:tc>
        <w:tc>
          <w:tcPr>
            <w:tcW w:w="3620" w:type="dxa"/>
            <w:vAlign w:val="bottom"/>
          </w:tcPr>
          <w:p>
            <w:pPr>
              <w:jc w:val="center"/>
              <w:ind w:right="563"/>
              <w:spacing w:after="0"/>
              <w:rPr>
                <w:sz w:val="20"/>
                <w:szCs w:val="20"/>
                <w:color w:val="auto"/>
              </w:rPr>
            </w:pPr>
            <w:r>
              <w:rPr>
                <w:rFonts w:ascii="Times New Roman" w:cs="Times New Roman" w:eastAsia="Times New Roman" w:hAnsi="Times New Roman"/>
                <w:sz w:val="11"/>
                <w:szCs w:val="11"/>
                <w:color w:val="auto"/>
                <w:w w:val="98"/>
              </w:rPr>
              <w:t>The Nasdaq Global Select Market</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1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CFR§230.405) or Rule 12b-2 of the Securities Exchange Act of 1934 (17 CFR §240.12b-2). Emerging growth company </w:t>
      </w:r>
      <w:r>
        <w:rPr>
          <w:rFonts w:ascii="MS PGothic" w:cs="MS PGothic" w:eastAsia="MS PGothic" w:hAnsi="MS PGothic"/>
          <w:sz w:val="12"/>
          <w:szCs w:val="12"/>
          <w:color w:val="auto"/>
        </w:rPr>
        <w:t>☐</w:t>
      </w:r>
    </w:p>
    <w:p>
      <w:pPr>
        <w:spacing w:after="0" w:line="80"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570865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790"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On September 5, 2024, Talen Energy Corporation (“Talen”) issued a press release announcing an increase in its share repurchase program capacity. A copy of the press release is furnished as Exhibit 99.1 to this Current Report on Form 8-K (this “Report”) and is incorporated herein by reference.</w:t>
      </w:r>
    </w:p>
    <w:p>
      <w:pPr>
        <w:spacing w:after="0" w:line="75"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Also on September 5, 2024, as previously announced, Talen will be hosting an investor day beginning at 1:00 PM Eastern time. A copy of the investor day presentation is furnished as Exhibit 99.2 to this Report and is incorporated herein by reference. The investor day webcast and presentation will be available both live and for subsequent replay via Talen’s investor relations website at https://ir.talenenergy.com.</w:t>
      </w:r>
    </w:p>
    <w:p>
      <w:pPr>
        <w:spacing w:after="0" w:line="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under this Item 7.01 and in Exhibits 99.1 and 99.2 to this Report is being furnished and shall not be deemed “filed” for the purpose of Section 18 of the Securities Exchange Act of 1934, as amended, or otherwise subject to the liabilities of that Section. The information under this Item 7.01 and in Exhibits 99.1 and 99.2 to this Report shall not be incorporated by reference into any registration statement or other document pursuant to the Securities Act of 1933, as amended.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79"/>
        </w:trPr>
        <w:tc>
          <w:tcPr>
            <w:tcW w:w="2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5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4"/>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dated September 5, 2024.</w:t>
            </w:r>
          </w:p>
        </w:tc>
        <w:tc>
          <w:tcPr>
            <w:tcW w:w="3100" w:type="dxa"/>
            <w:vAlign w:val="bottom"/>
            <w:gridSpan w:val="2"/>
          </w:tcPr>
          <w:p>
            <w:pPr>
              <w:spacing w:after="0"/>
              <w:rPr>
                <w:sz w:val="12"/>
                <w:szCs w:val="12"/>
                <w:color w:val="auto"/>
              </w:rPr>
            </w:pPr>
          </w:p>
        </w:tc>
      </w:tr>
      <w:tr>
        <w:trPr>
          <w:trHeight w:val="151"/>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50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 Day Presentation dated September 5, 2024.</w:t>
            </w:r>
          </w:p>
        </w:tc>
      </w:tr>
      <w:tr>
        <w:trPr>
          <w:trHeight w:val="20"/>
        </w:trPr>
        <w:tc>
          <w:tcPr>
            <w:tcW w:w="204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8"/>
        </w:trPr>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0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112395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97" w:right="31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TALEN ENERGY CORPORATION</w:t>
            </w:r>
          </w:p>
        </w:tc>
      </w:t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3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September 5, 2024</w:t>
            </w:r>
          </w:p>
        </w:tc>
        <w:tc>
          <w:tcPr>
            <w:tcW w:w="30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Terry L. Nutt</w:t>
            </w:r>
          </w:p>
        </w:tc>
      </w:tr>
      <w:tr>
        <w:trPr>
          <w:trHeight w:val="140"/>
        </w:trPr>
        <w:tc>
          <w:tcPr>
            <w:tcW w:w="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Terry L. Nutt</w:t>
            </w:r>
          </w:p>
        </w:tc>
      </w:tr>
      <w:tr>
        <w:trPr>
          <w:trHeight w:val="155"/>
        </w:trPr>
        <w:tc>
          <w:tcPr>
            <w:tcW w:w="4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1097" w:right="29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3"/>
          <w:szCs w:val="13"/>
          <w:b w:val="1"/>
          <w:bCs w:val="1"/>
          <w:color w:val="1E1E1E"/>
        </w:rPr>
        <w:t>Talen Energy Announces Increase in Share Repurchase Program Capacity</w:t>
      </w:r>
    </w:p>
    <w:p>
      <w:pPr>
        <w:spacing w:after="0" w:line="167" w:lineRule="exact"/>
        <w:rPr>
          <w:sz w:val="20"/>
          <w:szCs w:val="20"/>
          <w:color w:val="auto"/>
        </w:rPr>
      </w:pPr>
    </w:p>
    <w:p>
      <w:pPr>
        <w:ind w:right="60"/>
        <w:spacing w:after="0" w:line="269" w:lineRule="auto"/>
        <w:rPr>
          <w:sz w:val="20"/>
          <w:szCs w:val="20"/>
          <w:color w:val="auto"/>
        </w:rPr>
      </w:pPr>
      <w:r>
        <w:rPr>
          <w:rFonts w:ascii="Calibri" w:cs="Calibri" w:eastAsia="Calibri" w:hAnsi="Calibri"/>
          <w:sz w:val="13"/>
          <w:szCs w:val="13"/>
          <w:b w:val="1"/>
          <w:bCs w:val="1"/>
          <w:color w:val="1E1E1E"/>
        </w:rPr>
        <w:t xml:space="preserve">HOUSTON, September 5, 2024 </w:t>
      </w:r>
      <w:r>
        <w:rPr>
          <w:rFonts w:ascii="Calibri" w:cs="Calibri" w:eastAsia="Calibri" w:hAnsi="Calibri"/>
          <w:sz w:val="13"/>
          <w:szCs w:val="13"/>
          <w:color w:val="1E1E1E"/>
        </w:rPr>
        <w:t>-- Talen Energy Corporaton (“Talen” or the “Company”) (</w:t>
      </w:r>
      <w:r>
        <w:rPr>
          <w:rFonts w:ascii="Calibri" w:cs="Calibri" w:eastAsia="Calibri" w:hAnsi="Calibri"/>
          <w:sz w:val="13"/>
          <w:szCs w:val="13"/>
          <w:u w:val="single" w:color="auto"/>
          <w:color w:val="0000FF"/>
        </w:rPr>
        <w:t>NASDAQ: TLN</w:t>
      </w:r>
      <w:r>
        <w:rPr>
          <w:rFonts w:ascii="Calibri" w:cs="Calibri" w:eastAsia="Calibri" w:hAnsi="Calibri"/>
          <w:sz w:val="13"/>
          <w:szCs w:val="13"/>
          <w:color w:val="1E1E1E"/>
        </w:rPr>
        <w:t>),</w:t>
      </w:r>
      <w:r>
        <w:rPr>
          <w:rFonts w:ascii="Calibri" w:cs="Calibri" w:eastAsia="Calibri" w:hAnsi="Calibri"/>
          <w:sz w:val="13"/>
          <w:szCs w:val="13"/>
          <w:b w:val="1"/>
          <w:bCs w:val="1"/>
          <w:color w:val="1E1E1E"/>
        </w:rPr>
        <w:t xml:space="preserve"> </w:t>
      </w:r>
      <w:r>
        <w:rPr>
          <w:rFonts w:ascii="Calibri" w:cs="Calibri" w:eastAsia="Calibri" w:hAnsi="Calibri"/>
          <w:sz w:val="13"/>
          <w:szCs w:val="13"/>
          <w:color w:val="000000"/>
        </w:rPr>
        <w:t>an independent power producer dedicated to powering the future, announced today that its board of</w:t>
      </w:r>
      <w:r>
        <w:rPr>
          <w:rFonts w:ascii="Calibri" w:cs="Calibri" w:eastAsia="Calibri" w:hAnsi="Calibri"/>
          <w:sz w:val="13"/>
          <w:szCs w:val="13"/>
          <w:b w:val="1"/>
          <w:bCs w:val="1"/>
          <w:color w:val="1E1E1E"/>
        </w:rPr>
        <w:t xml:space="preserve"> </w:t>
      </w:r>
      <w:r>
        <w:rPr>
          <w:rFonts w:ascii="Calibri" w:cs="Calibri" w:eastAsia="Calibri" w:hAnsi="Calibri"/>
          <w:sz w:val="13"/>
          <w:szCs w:val="13"/>
          <w:color w:val="000000"/>
        </w:rPr>
        <w:t>directors has approved upsizing its previously announced share repurchase program, increasing remaining capacity to $1.25 billion.</w:t>
      </w:r>
    </w:p>
    <w:p>
      <w:pPr>
        <w:spacing w:after="0" w:line="157" w:lineRule="exact"/>
        <w:rPr>
          <w:sz w:val="20"/>
          <w:szCs w:val="20"/>
          <w:color w:val="auto"/>
        </w:rPr>
      </w:pPr>
    </w:p>
    <w:p>
      <w:pPr>
        <w:ind w:right="260"/>
        <w:spacing w:after="0" w:line="277" w:lineRule="auto"/>
        <w:rPr>
          <w:sz w:val="20"/>
          <w:szCs w:val="20"/>
          <w:color w:val="auto"/>
        </w:rPr>
      </w:pPr>
      <w:r>
        <w:rPr>
          <w:rFonts w:ascii="Calibri" w:cs="Calibri" w:eastAsia="Calibri" w:hAnsi="Calibri"/>
          <w:sz w:val="13"/>
          <w:szCs w:val="13"/>
          <w:color w:val="auto"/>
        </w:rPr>
        <w:t>In October 2023, the board of directors approved a $300 million share repurchase program, which was subsequently upsized to $1 billion through December 31, 2025. To date, Talen has repurchased approximately 14% of its shares outstanding for a total of $931 million. Going forward, the Company is authorized to repurchase up to $1.25 billion of incremental outstanding common stock through the fourth quarter of 2026.</w:t>
      </w:r>
    </w:p>
    <w:p>
      <w:pPr>
        <w:spacing w:after="0" w:line="144" w:lineRule="exact"/>
        <w:rPr>
          <w:sz w:val="20"/>
          <w:szCs w:val="20"/>
          <w:color w:val="auto"/>
        </w:rPr>
      </w:pPr>
    </w:p>
    <w:p>
      <w:pPr>
        <w:ind w:right="120"/>
        <w:spacing w:after="0" w:line="269" w:lineRule="auto"/>
        <w:rPr>
          <w:sz w:val="20"/>
          <w:szCs w:val="20"/>
          <w:color w:val="auto"/>
        </w:rPr>
      </w:pPr>
      <w:r>
        <w:rPr>
          <w:rFonts w:ascii="Calibri" w:cs="Calibri" w:eastAsia="Calibri" w:hAnsi="Calibri"/>
          <w:sz w:val="13"/>
          <w:szCs w:val="13"/>
          <w:color w:val="auto"/>
        </w:rPr>
        <w:t>“The further upsizing of our share repurchase program is a contnued demonstraton of our commitment to disciplined capital allocaton, including prioritzing the return of capital to our shareholders,” said Mac McFarland, President and Chief Executve Ofcer. “We are pleased to contnue delivering results for all of our stakeholders.”</w:t>
      </w:r>
    </w:p>
    <w:p>
      <w:pPr>
        <w:spacing w:after="0" w:line="157" w:lineRule="exact"/>
        <w:rPr>
          <w:sz w:val="20"/>
          <w:szCs w:val="20"/>
          <w:color w:val="auto"/>
        </w:rPr>
      </w:pPr>
    </w:p>
    <w:p>
      <w:pPr>
        <w:ind w:right="300"/>
        <w:spacing w:after="0" w:line="269" w:lineRule="auto"/>
        <w:rPr>
          <w:sz w:val="20"/>
          <w:szCs w:val="20"/>
          <w:color w:val="auto"/>
        </w:rPr>
      </w:pPr>
      <w:r>
        <w:rPr>
          <w:rFonts w:ascii="Calibri" w:cs="Calibri" w:eastAsia="Calibri" w:hAnsi="Calibri"/>
          <w:sz w:val="13"/>
          <w:szCs w:val="13"/>
          <w:color w:val="auto"/>
        </w:rPr>
        <w:t>The Company intends to fund the share repurchase program with cash on hand and generated by operatons. The shares may be repurchased from tme to tme in open market transactons at prevailing market prices, negotated transactons, or other means in accordance with federal securites laws.</w:t>
      </w:r>
    </w:p>
    <w:p>
      <w:pPr>
        <w:spacing w:after="0" w:line="148" w:lineRule="exact"/>
        <w:rPr>
          <w:sz w:val="20"/>
          <w:szCs w:val="20"/>
          <w:color w:val="auto"/>
        </w:rPr>
      </w:pPr>
    </w:p>
    <w:p>
      <w:pPr>
        <w:ind w:right="140"/>
        <w:spacing w:after="0" w:line="277" w:lineRule="auto"/>
        <w:rPr>
          <w:sz w:val="20"/>
          <w:szCs w:val="20"/>
          <w:color w:val="auto"/>
        </w:rPr>
      </w:pPr>
      <w:r>
        <w:rPr>
          <w:rFonts w:ascii="Calibri" w:cs="Calibri" w:eastAsia="Calibri" w:hAnsi="Calibri"/>
          <w:sz w:val="13"/>
          <w:szCs w:val="13"/>
          <w:color w:val="auto"/>
        </w:rPr>
        <w:t>The tming, number, and value of shares repurchased under the program will be at management’s discreton and will depend on several factors, including the market price of the Company’s common stock, alternate uses of capital, general market and economic conditons, and applicable legal requirements. Talen has no obligaton to repurchase any amount of its common stock under the program. All share repurchase amounts are excluding transacton costs. The program may be suspended, modifed or discontnued by the board of directors at any tme without prior notce.</w:t>
      </w:r>
    </w:p>
    <w:p>
      <w:pPr>
        <w:spacing w:after="0" w:line="15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1E1E1E"/>
        </w:rPr>
        <w:t>About Talen</w:t>
      </w:r>
    </w:p>
    <w:p>
      <w:pPr>
        <w:spacing w:after="0" w:line="167" w:lineRule="exact"/>
        <w:rPr>
          <w:sz w:val="20"/>
          <w:szCs w:val="20"/>
          <w:color w:val="auto"/>
        </w:rPr>
      </w:pPr>
    </w:p>
    <w:p>
      <w:pPr>
        <w:spacing w:after="0" w:line="274" w:lineRule="auto"/>
        <w:rPr>
          <w:sz w:val="20"/>
          <w:szCs w:val="20"/>
          <w:color w:val="auto"/>
        </w:rPr>
      </w:pPr>
      <w:r>
        <w:rPr>
          <w:rFonts w:ascii="Calibri" w:cs="Calibri" w:eastAsia="Calibri" w:hAnsi="Calibri"/>
          <w:sz w:val="13"/>
          <w:szCs w:val="13"/>
          <w:color w:val="1E1E1E"/>
        </w:rPr>
        <w:t>Talen Energy (</w:t>
      </w:r>
      <w:r>
        <w:rPr>
          <w:rFonts w:ascii="Calibri" w:cs="Calibri" w:eastAsia="Calibri" w:hAnsi="Calibri"/>
          <w:sz w:val="13"/>
          <w:szCs w:val="13"/>
          <w:u w:val="single" w:color="auto"/>
          <w:color w:val="0000FF"/>
        </w:rPr>
        <w:t>NASDAQ: TLN</w:t>
      </w:r>
      <w:r>
        <w:rPr>
          <w:rFonts w:ascii="Calibri" w:cs="Calibri" w:eastAsia="Calibri" w:hAnsi="Calibri"/>
          <w:sz w:val="13"/>
          <w:szCs w:val="13"/>
          <w:color w:val="1E1E1E"/>
        </w:rPr>
        <w:t xml:space="preserve">) is a leading independent power producer and energy infrastructure company dedicated to powering the future. We own and operate approximately 10.7 gigawats of power infrastructure in the United States, including 2.2 gigawats of nuclear power and a signifcant dispatchable fossil feet. We produce and sell electricity, capacity, and ancillary services into wholesale U.S. power markets, with our generaton feet principally located in the Mid-Atlantc and Montana. Our team is commited to generatng power safely and reliably, delivering the most value per megawat produced and driving the energy transiton. Talen is also powering the digital infrastructure revoluton. We are well-positoned to capture this signifcant growth opportunity, as data centers serving artfcial intelligence increasingly demand more reliable, clean power. Talen is headquartered in Houston, Texas. For more informaton, visit </w:t>
      </w:r>
      <w:r>
        <w:rPr>
          <w:rFonts w:ascii="Calibri" w:cs="Calibri" w:eastAsia="Calibri" w:hAnsi="Calibri"/>
          <w:sz w:val="13"/>
          <w:szCs w:val="13"/>
          <w:u w:val="single" w:color="auto"/>
          <w:color w:val="0000FF"/>
        </w:rPr>
        <w:t>htps://www.talenenergy.com/</w:t>
      </w:r>
      <w:r>
        <w:rPr>
          <w:rFonts w:ascii="Calibri" w:cs="Calibri" w:eastAsia="Calibri" w:hAnsi="Calibri"/>
          <w:sz w:val="13"/>
          <w:szCs w:val="13"/>
          <w:color w:val="1E1E1E"/>
          <w:highlight w:val="white"/>
        </w:rPr>
        <w:t>.</w:t>
      </w:r>
    </w:p>
    <w:p>
      <w:pPr>
        <w:sectPr>
          <w:pgSz w:w="11900" w:h="16838" w:orient="portrait"/>
          <w:cols w:equalWidth="0" w:num="1">
            <w:col w:w="11300"/>
          </w:cols>
          <w:pgMar w:left="300" w:top="1093" w:right="299"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b w:val="1"/>
          <w:bCs w:val="1"/>
          <w:color w:val="1E1E1E"/>
        </w:rPr>
        <w:t>Investor Relatons:</w:t>
      </w:r>
    </w:p>
    <w:p>
      <w:pPr>
        <w:spacing w:after="0" w:line="21" w:lineRule="exact"/>
        <w:rPr>
          <w:sz w:val="20"/>
          <w:szCs w:val="20"/>
          <w:color w:val="auto"/>
        </w:rPr>
      </w:pPr>
    </w:p>
    <w:p>
      <w:pPr>
        <w:spacing w:after="0"/>
        <w:rPr>
          <w:sz w:val="20"/>
          <w:szCs w:val="20"/>
          <w:color w:val="auto"/>
        </w:rPr>
      </w:pPr>
      <w:r>
        <w:rPr>
          <w:rFonts w:ascii="Calibri" w:cs="Calibri" w:eastAsia="Calibri" w:hAnsi="Calibri"/>
          <w:sz w:val="13"/>
          <w:szCs w:val="13"/>
          <w:color w:val="1E1E1E"/>
        </w:rPr>
        <w:t>Ellen Liu</w:t>
      </w:r>
    </w:p>
    <w:p>
      <w:pPr>
        <w:spacing w:after="0" w:line="21" w:lineRule="exact"/>
        <w:rPr>
          <w:sz w:val="20"/>
          <w:szCs w:val="20"/>
          <w:color w:val="auto"/>
        </w:rPr>
      </w:pPr>
    </w:p>
    <w:p>
      <w:pPr>
        <w:spacing w:after="0"/>
        <w:rPr>
          <w:sz w:val="20"/>
          <w:szCs w:val="20"/>
          <w:color w:val="auto"/>
        </w:rPr>
      </w:pPr>
      <w:r>
        <w:rPr>
          <w:rFonts w:ascii="Calibri" w:cs="Calibri" w:eastAsia="Calibri" w:hAnsi="Calibri"/>
          <w:sz w:val="13"/>
          <w:szCs w:val="13"/>
          <w:color w:val="1E1E1E"/>
        </w:rPr>
        <w:t>Senior Director, Investor Relatons</w:t>
      </w:r>
    </w:p>
    <w:p>
      <w:pPr>
        <w:spacing w:after="0" w:line="30"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0000FF"/>
        </w:rPr>
        <w:t>InvestorRelatons@talenenergy.com</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1E1E1E"/>
        </w:rPr>
        <w:t>Media:</w:t>
      </w:r>
    </w:p>
    <w:p>
      <w:pPr>
        <w:spacing w:after="0" w:line="30" w:lineRule="exact"/>
        <w:rPr>
          <w:sz w:val="20"/>
          <w:szCs w:val="20"/>
          <w:color w:val="auto"/>
        </w:rPr>
      </w:pPr>
    </w:p>
    <w:p>
      <w:pPr>
        <w:spacing w:after="0"/>
        <w:rPr>
          <w:sz w:val="20"/>
          <w:szCs w:val="20"/>
          <w:color w:val="auto"/>
        </w:rPr>
      </w:pPr>
      <w:r>
        <w:rPr>
          <w:rFonts w:ascii="Calibri" w:cs="Calibri" w:eastAsia="Calibri" w:hAnsi="Calibri"/>
          <w:sz w:val="13"/>
          <w:szCs w:val="13"/>
          <w:color w:val="1E1E1E"/>
        </w:rPr>
        <w:t>Taryne Williams</w:t>
      </w:r>
    </w:p>
    <w:p>
      <w:pPr>
        <w:spacing w:after="0" w:line="21" w:lineRule="exact"/>
        <w:rPr>
          <w:sz w:val="20"/>
          <w:szCs w:val="20"/>
          <w:color w:val="auto"/>
        </w:rPr>
      </w:pPr>
    </w:p>
    <w:p>
      <w:pPr>
        <w:spacing w:after="0"/>
        <w:rPr>
          <w:sz w:val="20"/>
          <w:szCs w:val="20"/>
          <w:color w:val="auto"/>
        </w:rPr>
      </w:pPr>
      <w:r>
        <w:rPr>
          <w:rFonts w:ascii="Calibri" w:cs="Calibri" w:eastAsia="Calibri" w:hAnsi="Calibri"/>
          <w:sz w:val="13"/>
          <w:szCs w:val="13"/>
          <w:color w:val="1E1E1E"/>
        </w:rPr>
        <w:t>Director, Corporate Communicatons</w:t>
      </w:r>
    </w:p>
    <w:p>
      <w:pPr>
        <w:spacing w:after="0" w:line="21"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0000FF"/>
        </w:rPr>
        <w:t>Taryne.Williams@talenenergy.com</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1E1E1E"/>
        </w:rPr>
        <w:t>Forward-Looking Statements</w:t>
      </w:r>
    </w:p>
    <w:p>
      <w:pPr>
        <w:spacing w:after="0" w:line="167" w:lineRule="exact"/>
        <w:rPr>
          <w:sz w:val="20"/>
          <w:szCs w:val="20"/>
          <w:color w:val="auto"/>
        </w:rPr>
      </w:pPr>
    </w:p>
    <w:p>
      <w:pPr>
        <w:spacing w:after="0" w:line="277" w:lineRule="auto"/>
        <w:rPr>
          <w:sz w:val="20"/>
          <w:szCs w:val="20"/>
          <w:color w:val="auto"/>
        </w:rPr>
      </w:pPr>
      <w:r>
        <w:rPr>
          <w:rFonts w:ascii="Calibri" w:cs="Calibri" w:eastAsia="Calibri" w:hAnsi="Calibri"/>
          <w:sz w:val="13"/>
          <w:szCs w:val="13"/>
          <w:color w:val="1E1E1E"/>
        </w:rPr>
        <w:t>This communicaton contains forward-looking statements within the meaning of the federal securites laws, which statements are subject to substantal risks and uncertaintes. These forward-looking statements are intended to qualify for the safe harbor from liability established by the Private Securites Litgaton Reform Act of 1995. All statements other than statements of historical fact included in this communicaton, or incorporated by reference into this communicaton, are forward-looking statements. Throughout this communicaton, we have atempted to identfy forward-looking statements by using words such as “antcipate,” “believe,” “contnue,” “could,” “estmate,” “expect,” “forecasts,” “goal,” “intend,” “may,” “plan,” “potental,” “predict,” “project,” “seek,” “should,” “will,” or other forms of these words or similar words or expressions or the negatve thereof, although not all forward-looking statements contain these terms. Forward-looking statements address future events and conditons concerning, among other things capital expenditures, earnings, litgaton, regulatory maters, hedging, liquidity and capital resources and accountng maters. Forward-looking statements are subject to substantal risks and uncertaintes that could cause our future business, fnancial conditon, results of operatons or performance to difer materially from our historical results or those expressed or implied in any forward-looking statement contained in this communicaton. All of our forward-looking statements include assumptons underlying or relatng to such statements that may cause actual results to difer materially from expectatons, and are subject to numerous factors that present considerable risks and uncertaintes.</w:t>
      </w:r>
    </w:p>
    <w:p>
      <w:pPr>
        <w:sectPr>
          <w:pgSz w:w="11900" w:h="16838" w:orient="portrait"/>
          <w:cols w:equalWidth="0" w:num="1">
            <w:col w:w="11280"/>
          </w:cols>
          <w:pgMar w:left="300" w:top="1093" w:right="319" w:bottom="1440" w:gutter="0" w:footer="0" w:header="0"/>
        </w:sectPr>
      </w:pPr>
    </w:p>
    <w:bookmarkStart w:id="5" w:name="page6"/>
    <w:bookmarkEnd w:id="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2024-09-05T07:03:14Z</dcterms:created>
  <dcterms:modified xsi:type="dcterms:W3CDTF">2024-09-05T07:03:14Z</dcterms:modified>
</cp:coreProperties>
</file>