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8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8074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gridSpan w:val="2"/>
            <w:vMerge w:val="restart"/>
          </w:tcPr>
          <w:p>
            <w:pPr>
              <w:spacing w:after="0"/>
              <w:rPr>
                <w:rFonts w:ascii="Times New Roman" w:cs="Times New Roman" w:eastAsia="Times New Roman" w:hAnsi="Times New Roman"/>
                <w:sz w:val="17"/>
                <w:szCs w:val="17"/>
                <w:color w:val="0000EE"/>
                <w:w w:val="98"/>
              </w:rPr>
            </w:pPr>
            <w:hyperlink r:id="rId13">
              <w:r>
                <w:rPr>
                  <w:rFonts w:ascii="Times New Roman" w:cs="Times New Roman" w:eastAsia="Times New Roman" w:hAnsi="Times New Roman"/>
                  <w:sz w:val="17"/>
                  <w:szCs w:val="17"/>
                  <w:color w:val="0000EE"/>
                  <w:w w:val="98"/>
                </w:rPr>
                <w:t>Olagues Darren J</w:t>
              </w:r>
            </w:hyperlink>
          </w:p>
        </w:tc>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Talen Energy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TLN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140" w:type="dxa"/>
            <w:vAlign w:val="bottom"/>
            <w:tcBorders>
              <w:top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40" w:type="dxa"/>
            <w:vAlign w:val="bottom"/>
            <w:tcBorders>
              <w:top w:val="single" w:sz="8" w:color="0000EE"/>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2929 ALLEN PKWY, SUITE 2200</w:t>
            </w:r>
          </w:p>
        </w:tc>
        <w:tc>
          <w:tcPr>
            <w:tcW w:w="1460" w:type="dxa"/>
            <w:vAlign w:val="bottom"/>
          </w:tcPr>
          <w:p>
            <w:pPr>
              <w:spacing w:after="0"/>
              <w:rPr>
                <w:sz w:val="18"/>
                <w:szCs w:val="18"/>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05/22/2026</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Chief Development Officer</w:t>
      </w:r>
    </w:p>
    <w:p>
      <w:pPr>
        <w:spacing w:after="0" w:line="328"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3520" w:type="dxa"/>
            <w:vAlign w:val="bottom"/>
            <w:tcBorders>
              <w:top w:val="single" w:sz="8" w:color="2C2C2C"/>
            </w:tcBorders>
            <w:gridSpan w:val="7"/>
            <w:vMerge w:val="restart"/>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HOUSTON</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TX</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77019</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40" w:type="dxa"/>
            <w:vAlign w:val="bottom"/>
            <w:tcBorders>
              <w:top w:val="single" w:sz="8" w:color="2C2C2C"/>
            </w:tcBorders>
            <w:gridSpan w:val="12"/>
          </w:tcPr>
          <w:p>
            <w:pPr>
              <w:jc w:val="right"/>
              <w:ind w:right="2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00" w:type="dxa"/>
            <w:vAlign w:val="bottom"/>
            <w:vMerge w:val="restart"/>
          </w:tcPr>
          <w:p>
            <w:pPr>
              <w:ind w:left="6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115"/>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62"/>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jc w:val="right"/>
              <w:ind w:right="32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0000FF"/>
              </w:rPr>
              <w:t>7,395</w:t>
            </w:r>
          </w:p>
        </w:tc>
        <w:tc>
          <w:tcPr>
            <w:tcW w:w="760" w:type="dxa"/>
            <w:vAlign w:val="bottom"/>
          </w:tcPr>
          <w:p>
            <w:pPr>
              <w:jc w:val="center"/>
              <w:ind w:left="182"/>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right"/>
              <w:ind w:right="228"/>
              <w:spacing w:after="0"/>
              <w:rPr>
                <w:sz w:val="20"/>
                <w:szCs w:val="20"/>
                <w:color w:val="auto"/>
              </w:rPr>
            </w:pPr>
            <w:r>
              <w:rPr>
                <w:rFonts w:ascii="Times New Roman" w:cs="Times New Roman" w:eastAsia="Times New Roman" w:hAnsi="Times New Roman"/>
                <w:sz w:val="9"/>
                <w:szCs w:val="9"/>
                <w:color w:val="008000"/>
              </w:rPr>
              <w:t>(1)</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0000FF"/>
              </w:rPr>
              <w:t>7,512</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w w:val="77"/>
                <w:vertAlign w:val="subscript"/>
              </w:rPr>
              <w:t>F</w:t>
            </w:r>
            <w:r>
              <w:rPr>
                <w:rFonts w:ascii="Times New Roman" w:cs="Times New Roman" w:eastAsia="Times New Roman" w:hAnsi="Times New Roman"/>
                <w:sz w:val="9"/>
                <w:szCs w:val="9"/>
                <w:color w:val="008000"/>
                <w:w w:val="77"/>
              </w:rPr>
              <w:t>(2)</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3"/>
                <w:szCs w:val="13"/>
                <w:color w:val="0000FF"/>
              </w:rPr>
              <w:t>2,911</w:t>
            </w:r>
          </w:p>
        </w:tc>
        <w:tc>
          <w:tcPr>
            <w:tcW w:w="760" w:type="dxa"/>
            <w:vAlign w:val="bottom"/>
            <w:tcBorders>
              <w:bottom w:val="single" w:sz="8" w:color="2C2C2C"/>
            </w:tcBorders>
          </w:tcPr>
          <w:p>
            <w:pPr>
              <w:jc w:val="center"/>
              <w:ind w:left="182"/>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ind w:right="2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324.21</w:t>
            </w:r>
          </w:p>
        </w:tc>
        <w:tc>
          <w:tcPr>
            <w:tcW w:w="76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3"/>
                <w:szCs w:val="13"/>
                <w:color w:val="0000FF"/>
              </w:rPr>
              <w:t>4,601</w:t>
            </w: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2"/>
          </w:tcPr>
          <w:p>
            <w:pPr>
              <w:jc w:val="right"/>
              <w:ind w:righ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10"/>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jc w:val="right"/>
              <w:ind w:right="2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jc w:val="right"/>
              <w:ind w:right="2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40"/>
              <w:spacing w:after="0"/>
              <w:rPr>
                <w:sz w:val="20"/>
                <w:szCs w:val="20"/>
                <w:color w:val="auto"/>
              </w:rPr>
            </w:pPr>
            <w:r>
              <w:rPr>
                <w:rFonts w:ascii="Arial" w:cs="Arial" w:eastAsia="Arial" w:hAnsi="Arial"/>
                <w:sz w:val="9"/>
                <w:szCs w:val="9"/>
                <w:b w:val="1"/>
                <w:bCs w:val="1"/>
                <w:color w:val="auto"/>
              </w:rPr>
              <w:t>Title</w:t>
            </w:r>
          </w:p>
        </w:tc>
        <w:tc>
          <w:tcPr>
            <w:tcW w:w="660" w:type="dxa"/>
            <w:vAlign w:val="bottom"/>
          </w:tcPr>
          <w:p>
            <w:pPr>
              <w:jc w:val="right"/>
              <w:ind w:right="18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2023 Restricted Stock</w:t>
            </w:r>
          </w:p>
        </w:tc>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00FF"/>
              </w:rPr>
              <w:t>05/22/2026</w:t>
            </w:r>
          </w:p>
        </w:tc>
        <w:tc>
          <w:tcPr>
            <w:tcW w:w="880" w:type="dxa"/>
            <w:vAlign w:val="bottom"/>
          </w:tcPr>
          <w:p>
            <w:pPr>
              <w:spacing w:after="0"/>
              <w:rPr>
                <w:sz w:val="12"/>
                <w:szCs w:val="12"/>
                <w:color w:val="auto"/>
              </w:rPr>
            </w:pPr>
          </w:p>
        </w:tc>
        <w:tc>
          <w:tcPr>
            <w:tcW w:w="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60" w:type="dxa"/>
            <w:vAlign w:val="bottom"/>
          </w:tcPr>
          <w:p>
            <w:pPr>
              <w:spacing w:after="0"/>
              <w:rPr>
                <w:sz w:val="12"/>
                <w:szCs w:val="12"/>
                <w:color w:val="auto"/>
              </w:rPr>
            </w:pPr>
          </w:p>
        </w:tc>
        <w:tc>
          <w:tcPr>
            <w:tcW w:w="460" w:type="dxa"/>
            <w:vAlign w:val="bottom"/>
            <w:vMerge w:val="restart"/>
          </w:tcPr>
          <w:p>
            <w:pPr>
              <w:jc w:val="right"/>
              <w:ind w:right="31"/>
              <w:spacing w:after="0"/>
              <w:rPr>
                <w:sz w:val="20"/>
                <w:szCs w:val="20"/>
                <w:color w:val="auto"/>
              </w:rPr>
            </w:pPr>
            <w:r>
              <w:rPr>
                <w:rFonts w:ascii="Times New Roman" w:cs="Times New Roman" w:eastAsia="Times New Roman" w:hAnsi="Times New Roman"/>
                <w:sz w:val="10"/>
                <w:szCs w:val="10"/>
                <w:color w:val="0000FF"/>
              </w:rPr>
              <w:t>18,487</w:t>
            </w:r>
          </w:p>
        </w:tc>
        <w:tc>
          <w:tcPr>
            <w:tcW w:w="300" w:type="dxa"/>
            <w:vAlign w:val="bottom"/>
          </w:tcPr>
          <w:p>
            <w:pPr>
              <w:spacing w:after="0"/>
              <w:rPr>
                <w:sz w:val="12"/>
                <w:szCs w:val="12"/>
                <w:color w:val="auto"/>
              </w:rPr>
            </w:pPr>
          </w:p>
        </w:tc>
        <w:tc>
          <w:tcPr>
            <w:tcW w:w="400" w:type="dxa"/>
            <w:vAlign w:val="bottom"/>
            <w:vMerge w:val="restart"/>
          </w:tcPr>
          <w:p>
            <w:pPr>
              <w:jc w:val="right"/>
              <w:ind w:right="255"/>
              <w:spacing w:after="0"/>
              <w:rPr>
                <w:sz w:val="20"/>
                <w:szCs w:val="20"/>
                <w:color w:val="auto"/>
              </w:rPr>
            </w:pPr>
            <w:r>
              <w:rPr>
                <w:rFonts w:ascii="Times New Roman" w:cs="Times New Roman" w:eastAsia="Times New Roman" w:hAnsi="Times New Roman"/>
                <w:sz w:val="9"/>
                <w:szCs w:val="9"/>
                <w:color w:val="008000"/>
                <w:w w:val="75"/>
              </w:rPr>
              <w:t>(1)</w:t>
            </w: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9"/>
                <w:szCs w:val="9"/>
                <w:color w:val="008000"/>
              </w:rPr>
              <w:t>(1)</w:t>
            </w:r>
          </w:p>
        </w:tc>
        <w:tc>
          <w:tcPr>
            <w:tcW w:w="12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3"/>
                <w:szCs w:val="13"/>
                <w:color w:val="0000FF"/>
              </w:rPr>
              <w:t>18,487</w:t>
            </w:r>
          </w:p>
        </w:tc>
        <w:tc>
          <w:tcPr>
            <w:tcW w:w="76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2"/>
                <w:szCs w:val="12"/>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Units</w:t>
            </w:r>
          </w:p>
        </w:tc>
        <w:tc>
          <w:tcPr>
            <w:tcW w:w="7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6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was issued under the Talen Energy Corporation 2023 Equity Incentive Plan (the "Plan") and represents a contingent right to receive one share of common stock, par value $0.001 ("common stock") of Talen Energy Corporation (the "Company") or its cash equivalent, as determined at the time of settlement by the Compensation Committee of the Company's Board of Directors pursuant to the terms of the Plan. The reporting person's RSUs were granted on October 2, 2024 and the reporting person's RSUs cliff vested on May 17, 2026, with 60% of the after-tax value of such RSUs settled in cash.</w:t>
      </w:r>
    </w:p>
    <w:p>
      <w:pPr>
        <w:spacing w:after="0" w:line="12"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 an exempt disposition to the Company under Rule 16b-3(e), the reporting person remitted shares to the Company in connection with the satisfaction of tax withholding obligations arising out of the vesting of the RSUs.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Daniel J. Kelly, attorney-in-fact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05/27/2026</w:t>
            </w:r>
          </w:p>
        </w:tc>
      </w:tr>
      <w:tr>
        <w:trPr>
          <w:trHeight w:val="178"/>
        </w:trPr>
        <w:tc>
          <w:tcPr>
            <w:tcW w:w="6580" w:type="dxa"/>
            <w:vAlign w:val="bottom"/>
          </w:tcPr>
          <w:p>
            <w:pPr>
              <w:spacing w:after="0"/>
              <w:rPr>
                <w:sz w:val="15"/>
                <w:szCs w:val="15"/>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08305" TargetMode="External"/><Relationship Id="rId14"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2026-05-27T17:40:18Z</dcterms:created>
  <dcterms:modified xsi:type="dcterms:W3CDTF">2026-05-27T17:40:18Z</dcterms:modified>
</cp:coreProperties>
</file>