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5206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20636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044"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McFarland Mark Allen</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2929 ALLEN PKWY, SUITE 2200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Talen Energy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TLN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93"/>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6" w:lineRule="exact"/>
        <w:rPr>
          <w:sz w:val="24"/>
          <w:szCs w:val="24"/>
          <w:color w:val="auto"/>
        </w:rPr>
      </w:pPr>
    </w:p>
    <w:p>
      <w:pPr>
        <w:sectPr>
          <w:pgSz w:w="11900" w:h="16838" w:orient="portrait"/>
          <w:cols w:equalWidth="0" w:num="3">
            <w:col w:w="3180" w:space="720"/>
            <w:col w:w="3107" w:space="720"/>
            <w:col w:w="3353"/>
          </w:cols>
          <w:pgMar w:left="460" w:top="216" w:right="359" w:bottom="1044"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shd w:val="clear" w:color="auto" w:fill="9A9A9A"/>
          </w:tcPr>
          <w:p>
            <w:pPr>
              <w:spacing w:after="0"/>
              <w:rPr>
                <w:sz w:val="3"/>
                <w:szCs w:val="3"/>
                <w:color w:val="auto"/>
              </w:rPr>
            </w:pPr>
          </w:p>
        </w:tc>
        <w:tc>
          <w:tcPr>
            <w:tcW w:w="72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240" w:type="dxa"/>
            <w:vAlign w:val="bottom"/>
            <w:shd w:val="clear" w:color="auto" w:fill="9A9A9A"/>
          </w:tcPr>
          <w:p>
            <w:pPr>
              <w:spacing w:after="0"/>
              <w:rPr>
                <w:sz w:val="3"/>
                <w:szCs w:val="3"/>
                <w:color w:val="auto"/>
              </w:rPr>
            </w:pPr>
          </w:p>
        </w:tc>
        <w:tc>
          <w:tcPr>
            <w:tcW w:w="374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740" w:type="dxa"/>
            <w:vAlign w:val="bottom"/>
            <w:gridSpan w:val="8"/>
            <w:vMerge w:val="continue"/>
          </w:tcPr>
          <w:p>
            <w:pPr>
              <w:spacing w:after="0"/>
              <w:rPr>
                <w:sz w:val="9"/>
                <w:szCs w:val="9"/>
                <w:color w:val="auto"/>
              </w:rPr>
            </w:pPr>
          </w:p>
        </w:tc>
        <w:tc>
          <w:tcPr>
            <w:tcW w:w="36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3"/>
              </w:rPr>
              <w:t>HOUSTON</w:t>
            </w:r>
          </w:p>
        </w:tc>
        <w:tc>
          <w:tcPr>
            <w:tcW w:w="7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18"/>
                <w:szCs w:val="18"/>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77019</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60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(State)</w:t>
            </w:r>
          </w:p>
        </w:tc>
        <w:tc>
          <w:tcPr>
            <w:tcW w:w="124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3800" w:type="dxa"/>
            <w:vAlign w:val="bottom"/>
            <w:tcBorders>
              <w:bottom w:val="single" w:sz="8" w:color="2C2C2C"/>
            </w:tcBorders>
            <w:gridSpan w:val="7"/>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45,228</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20" w:type="dxa"/>
            <w:vAlign w:val="bottom"/>
          </w:tcPr>
          <w:p>
            <w:pPr>
              <w:spacing w:after="0"/>
              <w:rPr>
                <w:sz w:val="20"/>
                <w:szCs w:val="20"/>
                <w:color w:val="auto"/>
              </w:rPr>
            </w:pPr>
            <w:r>
              <w:rPr>
                <w:rFonts w:ascii="Arial" w:cs="Arial" w:eastAsia="Arial" w:hAnsi="Arial"/>
                <w:sz w:val="11"/>
                <w:szCs w:val="11"/>
                <w:b w:val="1"/>
                <w:bCs w:val="1"/>
                <w:color w:val="auto"/>
              </w:rPr>
              <w:t>or Exercise</w:t>
            </w:r>
          </w:p>
        </w:tc>
        <w:tc>
          <w:tcPr>
            <w:tcW w:w="2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  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20" w:type="dxa"/>
            <w:vAlign w:val="bottom"/>
          </w:tcPr>
          <w:p>
            <w:pPr>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1"/>
                <w:szCs w:val="11"/>
                <w:color w:val="auto"/>
              </w:rPr>
            </w:pP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9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2026</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12,519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vMerge w:val="continue"/>
          </w:tcPr>
          <w:p>
            <w:pPr>
              <w:spacing w:after="0"/>
              <w:rPr>
                <w:sz w:val="11"/>
                <w:szCs w:val="11"/>
                <w:color w:val="auto"/>
              </w:rPr>
            </w:pP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0000FF"/>
              </w:rPr>
              <w:t>02/26/2026</w:t>
            </w:r>
          </w:p>
        </w:tc>
        <w:tc>
          <w:tcPr>
            <w:tcW w:w="1240" w:type="dxa"/>
            <w:vAlign w:val="bottom"/>
          </w:tcPr>
          <w:p>
            <w:pPr>
              <w:spacing w:after="0"/>
              <w:rPr>
                <w:sz w:val="11"/>
                <w:szCs w:val="11"/>
                <w:color w:val="auto"/>
              </w:rPr>
            </w:pPr>
          </w:p>
        </w:tc>
        <w:tc>
          <w:tcPr>
            <w:tcW w:w="62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12,519</w:t>
            </w:r>
          </w:p>
        </w:tc>
        <w:tc>
          <w:tcPr>
            <w:tcW w:w="3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28" w:lineRule="exact"/>
              <w:rPr>
                <w:sz w:val="20"/>
                <w:szCs w:val="20"/>
                <w:color w:val="auto"/>
              </w:rPr>
            </w:pPr>
            <w:r>
              <w:rPr>
                <w:rFonts w:ascii="Times New Roman" w:cs="Times New Roman" w:eastAsia="Times New Roman" w:hAnsi="Times New Roman"/>
                <w:sz w:val="13"/>
                <w:szCs w:val="13"/>
                <w:color w:val="0000FF"/>
              </w:rPr>
              <w:t>12,519</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9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2026</w:t>
            </w: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Performance-</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58,420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Based</w:t>
            </w:r>
          </w:p>
        </w:tc>
        <w:tc>
          <w:tcPr>
            <w:tcW w:w="720" w:type="dxa"/>
            <w:vAlign w:val="bottom"/>
            <w:vMerge w:val="continue"/>
          </w:tcPr>
          <w:p>
            <w:pPr>
              <w:spacing w:after="0"/>
              <w:rPr>
                <w:sz w:val="11"/>
                <w:szCs w:val="11"/>
                <w:color w:val="auto"/>
              </w:rPr>
            </w:pP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0000FF"/>
              </w:rPr>
              <w:t>02/26/2026</w:t>
            </w:r>
          </w:p>
        </w:tc>
        <w:tc>
          <w:tcPr>
            <w:tcW w:w="1240" w:type="dxa"/>
            <w:vAlign w:val="bottom"/>
          </w:tcPr>
          <w:p>
            <w:pPr>
              <w:spacing w:after="0"/>
              <w:rPr>
                <w:sz w:val="11"/>
                <w:szCs w:val="11"/>
                <w:color w:val="auto"/>
              </w:rPr>
            </w:pPr>
          </w:p>
        </w:tc>
        <w:tc>
          <w:tcPr>
            <w:tcW w:w="62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58,420</w:t>
            </w:r>
          </w:p>
        </w:tc>
        <w:tc>
          <w:tcPr>
            <w:tcW w:w="3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28" w:lineRule="exact"/>
              <w:rPr>
                <w:sz w:val="20"/>
                <w:szCs w:val="20"/>
                <w:color w:val="auto"/>
              </w:rPr>
            </w:pPr>
            <w:r>
              <w:rPr>
                <w:rFonts w:ascii="Times New Roman" w:cs="Times New Roman" w:eastAsia="Times New Roman" w:hAnsi="Times New Roman"/>
                <w:sz w:val="13"/>
                <w:szCs w:val="13"/>
                <w:color w:val="0000FF"/>
              </w:rPr>
              <w:t>58,420</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 Units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117 shares of common stock, par value $0.001 ("common stock"), of Talen Energy Corporation (the "Company") purchased from the 2025 Talen Energy Corporation Employee Stock Purchase Plan on June 30, 2025.</w:t>
      </w:r>
    </w:p>
    <w:p>
      <w:pPr>
        <w:spacing w:after="0" w:line="20" w:lineRule="exact"/>
        <w:rPr>
          <w:rFonts w:ascii="Times New Roman" w:cs="Times New Roman" w:eastAsia="Times New Roman" w:hAnsi="Times New Roman"/>
          <w:sz w:val="13"/>
          <w:szCs w:val="13"/>
          <w:color w:val="008000"/>
        </w:rPr>
      </w:pPr>
    </w:p>
    <w:p>
      <w:pPr>
        <w:ind w:left="40" w:right="560"/>
        <w:spacing w:after="0" w:line="288"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("RSU") was issued under the Talen Energy Corporation 2023 Equity Incentive Plan (the "Plan") and represents a contingent right to receive one share of common stock of the Company or its cash equivalent, as determined at the time of settlement by the Compensation Committee of the Company's Board of Directors (the "Committee") pursuant to the terms of the Plan.</w:t>
      </w:r>
    </w:p>
    <w:p>
      <w:pPr>
        <w:ind w:left="40" w:right="36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5,007 RSUs that will vest on February 25, 2027, 5,008 RSUs that will vest on February 25, 2028 and 2,504 RSUs that will vest on February 25, 2029, in each case subject to the reporting person's continued service.</w:t>
      </w:r>
    </w:p>
    <w:p>
      <w:pPr>
        <w:spacing w:after="0" w:line="20" w:lineRule="exact"/>
        <w:rPr>
          <w:rFonts w:ascii="Times New Roman" w:cs="Times New Roman" w:eastAsia="Times New Roman" w:hAnsi="Times New Roman"/>
          <w:sz w:val="13"/>
          <w:szCs w:val="13"/>
          <w:color w:val="008000"/>
        </w:rPr>
      </w:pPr>
    </w:p>
    <w:p>
      <w:pPr>
        <w:ind w:left="40" w:right="4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Performance-Based Restricted Stock Unit ("PSU") was issued under the Plan and represents a contingent right to receive one share of common stock or its cash equivalent, as determined at the time of settlement by the Committee pursuant to the terms of the Plan.</w:t>
      </w:r>
    </w:p>
    <w:p>
      <w:pPr>
        <w:spacing w:after="0" w:line="20" w:lineRule="exact"/>
        <w:rPr>
          <w:rFonts w:ascii="Times New Roman" w:cs="Times New Roman" w:eastAsia="Times New Roman" w:hAnsi="Times New Roman"/>
          <w:sz w:val="13"/>
          <w:szCs w:val="13"/>
          <w:color w:val="008000"/>
        </w:rPr>
      </w:pPr>
    </w:p>
    <w:p>
      <w:pPr>
        <w:ind w:left="40" w:right="180"/>
        <w:spacing w:after="0" w:line="259"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PSUs that will vest subject to the reporting person's (i) continued service and (ii) achievement of applicable performance goals. 23,368 of the PSUs will be eligible to vest based on performance as of February 25, 2028 and 35,052 of the PSUs will be eligible to vest based on performance as of February 25, 2029. The number of PSUs that vest can range from 0% to 200% of the target number of PSUs subject to the award, plus, if the maximum performance level is exceeded, an additional number of PSUs in an amount equal to the reporting person's proportionate share among the participating executive officers of 3% of the Company's market capitalization above the maximum performance level. The numbers of PSUs and shares of common stock in this row represent the maximum level of performance (or 200%) for each award.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John C. Wander, attorney-in- </w:t>
      </w:r>
      <w:r>
        <w:rPr>
          <w:rFonts w:ascii="Times New Roman" w:cs="Times New Roman" w:eastAsia="Times New Roman" w:hAnsi="Times New Roman"/>
          <w:sz w:val="33"/>
          <w:szCs w:val="33"/>
          <w:color w:val="0000FF"/>
          <w:vertAlign w:val="subscript"/>
        </w:rPr>
        <w:t>03/02/2026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157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748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4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20720" TargetMode="External"/><Relationship Id="rId14" Type="http://schemas.openxmlformats.org/officeDocument/2006/relationships/hyperlink" Target="http://www.sec.gov/cgi-bin/browse-edgar?action=getcompany&amp;CIK=00016225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2026-03-02T16:58:16Z</dcterms:created>
  <dcterms:modified xsi:type="dcterms:W3CDTF">2026-03-02T16:58:16Z</dcterms:modified>
</cp:coreProperties>
</file>