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66"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spacing w:after="0" w:line="51"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2196465</wp:posOffset>
            </wp:positionH>
            <wp:positionV relativeFrom="paragraph">
              <wp:posOffset>297815</wp:posOffset>
            </wp:positionV>
            <wp:extent cx="25285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212725</wp:posOffset>
            </wp:positionV>
            <wp:extent cx="2537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CURRENT REPORT</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December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303530</wp:posOffset>
            </wp:positionV>
            <wp:extent cx="2537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Talen Energy Corporation</w:t>
      </w:r>
    </w:p>
    <w:p>
      <w:pPr>
        <w:spacing w:after="0" w:line="4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233680</wp:posOffset>
            </wp:positionV>
            <wp:extent cx="2537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226"/>
        </w:trPr>
        <w:tc>
          <w:tcPr>
            <w:tcW w:w="3300" w:type="dxa"/>
            <w:vAlign w:val="bottom"/>
            <w:tcBorders>
              <w:bottom w:val="single" w:sz="8" w:color="auto"/>
            </w:tcBorders>
          </w:tcPr>
          <w:p>
            <w:pPr>
              <w:jc w:val="center"/>
              <w:ind w:left="779"/>
              <w:spacing w:after="0"/>
              <w:rPr>
                <w:sz w:val="20"/>
                <w:szCs w:val="20"/>
                <w:color w:val="auto"/>
              </w:rPr>
            </w:pPr>
            <w:r>
              <w:rPr>
                <w:rFonts w:ascii="Arial" w:cs="Arial" w:eastAsia="Arial" w:hAnsi="Arial"/>
                <w:sz w:val="16"/>
                <w:szCs w:val="16"/>
                <w:b w:val="1"/>
                <w:bCs w:val="1"/>
                <w:color w:val="auto"/>
              </w:rPr>
              <w:t>Delaware</w:t>
            </w:r>
          </w:p>
        </w:tc>
        <w:tc>
          <w:tcPr>
            <w:tcW w:w="8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001-37388</w:t>
            </w:r>
          </w:p>
        </w:tc>
        <w:tc>
          <w:tcPr>
            <w:tcW w:w="14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jc w:val="center"/>
              <w:ind w:right="1019"/>
              <w:spacing w:after="0"/>
              <w:rPr>
                <w:sz w:val="20"/>
                <w:szCs w:val="20"/>
                <w:color w:val="auto"/>
              </w:rPr>
            </w:pPr>
            <w:r>
              <w:rPr>
                <w:rFonts w:ascii="Arial" w:cs="Arial" w:eastAsia="Arial" w:hAnsi="Arial"/>
                <w:sz w:val="16"/>
                <w:szCs w:val="16"/>
                <w:b w:val="1"/>
                <w:bCs w:val="1"/>
                <w:color w:val="auto"/>
              </w:rPr>
              <w:t>47-1197305</w:t>
            </w:r>
          </w:p>
        </w:tc>
      </w:tr>
      <w:tr>
        <w:trPr>
          <w:trHeight w:val="213"/>
        </w:trPr>
        <w:tc>
          <w:tcPr>
            <w:tcW w:w="3300" w:type="dxa"/>
            <w:vAlign w:val="bottom"/>
          </w:tcPr>
          <w:p>
            <w:pPr>
              <w:jc w:val="center"/>
              <w:ind w:left="759"/>
              <w:spacing w:after="0"/>
              <w:rPr>
                <w:sz w:val="20"/>
                <w:szCs w:val="20"/>
                <w:color w:val="auto"/>
              </w:rPr>
            </w:pPr>
            <w:r>
              <w:rPr>
                <w:rFonts w:ascii="Arial" w:cs="Arial" w:eastAsia="Arial" w:hAnsi="Arial"/>
                <w:sz w:val="16"/>
                <w:szCs w:val="16"/>
                <w:color w:val="auto"/>
              </w:rPr>
              <w:t>(State or other jurisdiction of</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3"/>
          </w:tcPr>
          <w:p>
            <w:pPr>
              <w:jc w:val="center"/>
              <w:ind w:right="1220"/>
              <w:spacing w:after="0"/>
              <w:rPr>
                <w:sz w:val="20"/>
                <w:szCs w:val="20"/>
                <w:color w:val="auto"/>
              </w:rPr>
            </w:pPr>
            <w:r>
              <w:rPr>
                <w:rFonts w:ascii="Arial" w:cs="Arial" w:eastAsia="Arial" w:hAnsi="Arial"/>
                <w:sz w:val="16"/>
                <w:szCs w:val="16"/>
                <w:color w:val="auto"/>
              </w:rPr>
              <w:t>(Commission File Number)</w:t>
            </w:r>
          </w:p>
        </w:tc>
        <w:tc>
          <w:tcPr>
            <w:tcW w:w="3080" w:type="dxa"/>
            <w:vAlign w:val="bottom"/>
          </w:tcPr>
          <w:p>
            <w:pPr>
              <w:jc w:val="center"/>
              <w:ind w:right="999"/>
              <w:spacing w:after="0"/>
              <w:rPr>
                <w:sz w:val="20"/>
                <w:szCs w:val="20"/>
                <w:color w:val="auto"/>
              </w:rPr>
            </w:pPr>
            <w:r>
              <w:rPr>
                <w:rFonts w:ascii="Arial" w:cs="Arial" w:eastAsia="Arial" w:hAnsi="Arial"/>
                <w:sz w:val="16"/>
                <w:szCs w:val="16"/>
                <w:color w:val="auto"/>
                <w:w w:val="99"/>
              </w:rPr>
              <w:t>(IRS Employer</w:t>
            </w:r>
          </w:p>
        </w:tc>
      </w:tr>
      <w:tr>
        <w:trPr>
          <w:trHeight w:val="215"/>
        </w:trPr>
        <w:tc>
          <w:tcPr>
            <w:tcW w:w="3300" w:type="dxa"/>
            <w:vAlign w:val="bottom"/>
          </w:tcPr>
          <w:p>
            <w:pPr>
              <w:jc w:val="center"/>
              <w:ind w:left="779"/>
              <w:spacing w:after="0"/>
              <w:rPr>
                <w:sz w:val="20"/>
                <w:szCs w:val="20"/>
                <w:color w:val="auto"/>
              </w:rPr>
            </w:pPr>
            <w:r>
              <w:rPr>
                <w:rFonts w:ascii="Arial" w:cs="Arial" w:eastAsia="Arial" w:hAnsi="Arial"/>
                <w:sz w:val="16"/>
                <w:szCs w:val="16"/>
                <w:color w:val="auto"/>
              </w:rPr>
              <w:t>incorporation or organization)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80" w:type="dxa"/>
            <w:vAlign w:val="bottom"/>
          </w:tcPr>
          <w:p>
            <w:pPr>
              <w:jc w:val="center"/>
              <w:ind w:right="1019"/>
              <w:spacing w:after="0"/>
              <w:rPr>
                <w:sz w:val="20"/>
                <w:szCs w:val="20"/>
                <w:color w:val="auto"/>
              </w:rPr>
            </w:pPr>
            <w:r>
              <w:rPr>
                <w:rFonts w:ascii="Arial" w:cs="Arial" w:eastAsia="Arial" w:hAnsi="Arial"/>
                <w:sz w:val="16"/>
                <w:szCs w:val="16"/>
                <w:color w:val="auto"/>
              </w:rPr>
              <w:t>Identification No.)</w:t>
            </w:r>
          </w:p>
        </w:tc>
      </w:tr>
      <w:tr>
        <w:trPr>
          <w:trHeight w:val="609"/>
        </w:trPr>
        <w:tc>
          <w:tcPr>
            <w:tcW w:w="3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6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rPr>
              <w:t>2929 Allen Pkwy, Suite 2200</w:t>
            </w:r>
          </w:p>
        </w:tc>
        <w:tc>
          <w:tcPr>
            <w:tcW w:w="3080" w:type="dxa"/>
            <w:vAlign w:val="bottom"/>
          </w:tcPr>
          <w:p>
            <w:pPr>
              <w:spacing w:after="0"/>
              <w:rPr>
                <w:sz w:val="24"/>
                <w:szCs w:val="24"/>
                <w:color w:val="auto"/>
              </w:rPr>
            </w:pPr>
          </w:p>
        </w:tc>
      </w:tr>
      <w:tr>
        <w:trPr>
          <w:trHeight w:val="203"/>
        </w:trPr>
        <w:tc>
          <w:tcPr>
            <w:tcW w:w="3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gridSpan w:val="3"/>
          </w:tcPr>
          <w:p>
            <w:pPr>
              <w:jc w:val="center"/>
              <w:ind w:right="1200"/>
              <w:spacing w:after="0"/>
              <w:rPr>
                <w:sz w:val="20"/>
                <w:szCs w:val="20"/>
                <w:color w:val="auto"/>
              </w:rPr>
            </w:pPr>
            <w:r>
              <w:rPr>
                <w:rFonts w:ascii="Arial" w:cs="Arial" w:eastAsia="Arial" w:hAnsi="Arial"/>
                <w:sz w:val="16"/>
                <w:szCs w:val="16"/>
                <w:b w:val="1"/>
                <w:bCs w:val="1"/>
                <w:color w:val="auto"/>
              </w:rPr>
              <w:t>Houston, TX 77019</w:t>
            </w:r>
          </w:p>
        </w:tc>
        <w:tc>
          <w:tcPr>
            <w:tcW w:w="3080" w:type="dxa"/>
            <w:vAlign w:val="bottom"/>
          </w:tcPr>
          <w:p>
            <w:pPr>
              <w:spacing w:after="0"/>
              <w:rPr>
                <w:sz w:val="17"/>
                <w:szCs w:val="17"/>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00"/>
              <w:spacing w:after="0"/>
              <w:rPr>
                <w:sz w:val="20"/>
                <w:szCs w:val="20"/>
                <w:color w:val="auto"/>
              </w:rPr>
            </w:pPr>
            <w:r>
              <w:rPr>
                <w:rFonts w:ascii="Arial" w:cs="Arial" w:eastAsia="Arial" w:hAnsi="Arial"/>
                <w:sz w:val="16"/>
                <w:szCs w:val="16"/>
                <w:color w:val="auto"/>
              </w:rPr>
              <w:t>(Address of principal executive offices) (Zip Code)</w:t>
            </w:r>
          </w:p>
        </w:tc>
        <w:tc>
          <w:tcPr>
            <w:tcW w:w="3080" w:type="dxa"/>
            <w:vAlign w:val="bottom"/>
          </w:tcPr>
          <w:p>
            <w:pPr>
              <w:spacing w:after="0"/>
              <w:rPr>
                <w:sz w:val="18"/>
                <w:szCs w:val="18"/>
                <w:color w:val="auto"/>
              </w:rPr>
            </w:pPr>
          </w:p>
        </w:tc>
      </w:tr>
      <w:tr>
        <w:trPr>
          <w:trHeight w:val="325"/>
        </w:trPr>
        <w:tc>
          <w:tcPr>
            <w:tcW w:w="3300" w:type="dxa"/>
            <w:vAlign w:val="bottom"/>
          </w:tcPr>
          <w:p>
            <w:pPr>
              <w:spacing w:after="0"/>
              <w:rPr>
                <w:sz w:val="24"/>
                <w:szCs w:val="24"/>
                <w:color w:val="auto"/>
              </w:rPr>
            </w:pPr>
          </w:p>
        </w:tc>
        <w:tc>
          <w:tcPr>
            <w:tcW w:w="3120" w:type="dxa"/>
            <w:vAlign w:val="bottom"/>
            <w:gridSpan w:val="3"/>
          </w:tcPr>
          <w:p>
            <w:pPr>
              <w:jc w:val="center"/>
              <w:ind w:left="919"/>
              <w:spacing w:after="0"/>
              <w:rPr>
                <w:sz w:val="20"/>
                <w:szCs w:val="20"/>
                <w:color w:val="auto"/>
              </w:rPr>
            </w:pPr>
            <w:r>
              <w:rPr>
                <w:rFonts w:ascii="Arial" w:cs="Arial" w:eastAsia="Arial" w:hAnsi="Arial"/>
                <w:sz w:val="16"/>
                <w:szCs w:val="16"/>
                <w:b w:val="1"/>
                <w:bCs w:val="1"/>
                <w:color w:val="auto"/>
                <w:w w:val="98"/>
              </w:rPr>
              <w:t>(888) 211-6011</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80" w:type="dxa"/>
            <w:vAlign w:val="bottom"/>
          </w:tcPr>
          <w:p>
            <w:pPr>
              <w:spacing w:after="0"/>
              <w:rPr>
                <w:sz w:val="24"/>
                <w:szCs w:val="24"/>
                <w:color w:val="auto"/>
              </w:rPr>
            </w:pPr>
          </w:p>
        </w:tc>
      </w:tr>
      <w:tr>
        <w:trPr>
          <w:trHeight w:val="215"/>
        </w:trPr>
        <w:tc>
          <w:tcPr>
            <w:tcW w:w="3300" w:type="dxa"/>
            <w:vAlign w:val="bottom"/>
          </w:tcPr>
          <w:p>
            <w:pPr>
              <w:spacing w:after="0"/>
              <w:rPr>
                <w:sz w:val="18"/>
                <w:szCs w:val="18"/>
                <w:color w:val="auto"/>
              </w:rPr>
            </w:pPr>
          </w:p>
        </w:tc>
        <w:tc>
          <w:tcPr>
            <w:tcW w:w="4340" w:type="dxa"/>
            <w:vAlign w:val="bottom"/>
            <w:gridSpan w:val="5"/>
          </w:tcPr>
          <w:p>
            <w:pPr>
              <w:jc w:val="center"/>
              <w:ind w:right="220"/>
              <w:spacing w:after="0"/>
              <w:rPr>
                <w:sz w:val="20"/>
                <w:szCs w:val="20"/>
                <w:color w:val="auto"/>
              </w:rPr>
            </w:pPr>
            <w:r>
              <w:rPr>
                <w:rFonts w:ascii="Arial" w:cs="Arial" w:eastAsia="Arial" w:hAnsi="Arial"/>
                <w:sz w:val="16"/>
                <w:szCs w:val="16"/>
                <w:color w:val="auto"/>
              </w:rPr>
              <w:t>(Registrant’s telephone number, including area code)</w:t>
            </w:r>
          </w:p>
        </w:tc>
        <w:tc>
          <w:tcPr>
            <w:tcW w:w="3080" w:type="dxa"/>
            <w:vAlign w:val="bottom"/>
          </w:tcPr>
          <w:p>
            <w:pPr>
              <w:spacing w:after="0"/>
              <w:rPr>
                <w:sz w:val="18"/>
                <w:szCs w:val="18"/>
                <w:color w:val="auto"/>
              </w:rPr>
            </w:pPr>
          </w:p>
        </w:tc>
      </w:tr>
    </w:tbl>
    <w:p>
      <w:pPr>
        <w:spacing w:after="0" w:line="150"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2188210</wp:posOffset>
            </wp:positionH>
            <wp:positionV relativeFrom="paragraph">
              <wp:posOffset>267970</wp:posOffset>
            </wp:positionV>
            <wp:extent cx="25374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88" w:lineRule="exact"/>
        <w:rPr>
          <w:sz w:val="24"/>
          <w:szCs w:val="24"/>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43"/>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59"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9" w:lineRule="exact"/>
        <w:rPr>
          <w:sz w:val="24"/>
          <w:szCs w:val="24"/>
          <w:color w:val="auto"/>
        </w:rPr>
      </w:pPr>
    </w:p>
    <w:tbl>
      <w:tblPr>
        <w:tblLayout w:type="fixed"/>
        <w:tblInd w:w="80" w:type="dxa"/>
        <w:tblCellMar>
          <w:top w:w="0" w:type="dxa"/>
          <w:left w:w="0" w:type="dxa"/>
          <w:bottom w:w="0" w:type="dxa"/>
          <w:right w:w="0" w:type="dxa"/>
        </w:tblCellMar>
      </w:tblPr>
      <w:tr>
        <w:trPr>
          <w:trHeight w:val="223"/>
        </w:trPr>
        <w:tc>
          <w:tcPr>
            <w:tcW w:w="4140" w:type="dxa"/>
            <w:vAlign w:val="bottom"/>
            <w:vMerge w:val="restart"/>
          </w:tcPr>
          <w:p>
            <w:pPr>
              <w:ind w:left="144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vMerge w:val="restart"/>
          </w:tcPr>
          <w:p>
            <w:pPr>
              <w:spacing w:after="0"/>
              <w:rPr>
                <w:sz w:val="19"/>
                <w:szCs w:val="19"/>
                <w:color w:val="auto"/>
              </w:rPr>
            </w:pP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Trading Symbol(s)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166"/>
        </w:trPr>
        <w:tc>
          <w:tcPr>
            <w:tcW w:w="414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Common stock, par value $0.001 per share</w:t>
            </w:r>
          </w:p>
        </w:tc>
        <w:tc>
          <w:tcPr>
            <w:tcW w:w="228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TLN</w:t>
            </w:r>
          </w:p>
        </w:tc>
        <w:tc>
          <w:tcPr>
            <w:tcW w:w="41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CFR§230.405) or Rule 12b-2 of the Securities Exchange Act of 1934 (17 CFR §240.12b-2).</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55" w:lineRule="exact"/>
        <w:rPr>
          <w:sz w:val="24"/>
          <w:szCs w:val="24"/>
          <w:color w:val="auto"/>
        </w:rPr>
      </w:pPr>
    </w:p>
    <w:p>
      <w:pPr>
        <w:ind w:right="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500" w:top="1361" w:right="459" w:bottom="1440" w:gutter="0" w:footer="0" w:header="0"/>
        </w:sectPr>
      </w:pPr>
    </w:p>
    <w:bookmarkStart w:id="1" w:name="page2"/>
    <w:bookmarkEnd w:id="1"/>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On December 17, 2025, Talen Energy Corporation (“Talen”) issued a press release announcing results in the PJM Base Residual Auction for the 2027/2028 planning year. A copy of the press release is furnished as Exhibit 99.1 to this Current Report on Form 8-K (this “Report”) and is incorporated herein by reference.</w:t>
      </w:r>
    </w:p>
    <w:p>
      <w:pPr>
        <w:spacing w:after="0" w:line="12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information under this Item 7.01 and in Exhibit 99.1 to this Report is being furnished and shall not be deemed “filed” for the purpose of Section 18 of the Securities Exchange Act of 1934, as amended, or otherwise subject to the liabilities of that Section. The information under this Item 7.01 and in Exhibit 99.1 to this Report shall not be incorporated by reference into any registration statement or other document pursuant to the Securities Act of 1933, as amended.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i w:val="1"/>
                <w:iCs w:val="1"/>
                <w:color w:val="auto"/>
              </w:rPr>
              <w:t>Exhibits.</w:t>
            </w:r>
          </w:p>
        </w:tc>
        <w:tc>
          <w:tcPr>
            <w:tcW w:w="3020" w:type="dxa"/>
            <w:vAlign w:val="bottom"/>
          </w:tcPr>
          <w:p>
            <w:pPr>
              <w:spacing w:after="0"/>
              <w:rPr>
                <w:sz w:val="18"/>
                <w:szCs w:val="18"/>
                <w:color w:val="auto"/>
              </w:rPr>
            </w:pPr>
          </w:p>
        </w:tc>
      </w:tr>
      <w:tr>
        <w:trPr>
          <w:trHeight w:val="413"/>
        </w:trPr>
        <w:tc>
          <w:tcPr>
            <w:tcW w:w="1440" w:type="dxa"/>
            <w:vAlign w:val="bottom"/>
          </w:tcPr>
          <w:p>
            <w:pPr>
              <w:ind w:left="20"/>
              <w:spacing w:after="0"/>
              <w:rPr>
                <w:sz w:val="20"/>
                <w:szCs w:val="20"/>
                <w:color w:val="auto"/>
              </w:rPr>
            </w:pPr>
            <w:r>
              <w:rPr>
                <w:rFonts w:ascii="Arial" w:cs="Arial" w:eastAsia="Arial" w:hAnsi="Arial"/>
                <w:sz w:val="16"/>
                <w:szCs w:val="16"/>
                <w:b w:val="1"/>
                <w:bCs w:val="1"/>
                <w:color w:val="auto"/>
              </w:rPr>
              <w:t>Exhibit No.</w:t>
            </w:r>
          </w:p>
        </w:tc>
        <w:tc>
          <w:tcPr>
            <w:tcW w:w="3020" w:type="dxa"/>
            <w:vAlign w:val="bottom"/>
          </w:tcPr>
          <w:p>
            <w:pPr>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1440" w:type="dxa"/>
            <w:vAlign w:val="bottom"/>
          </w:tcPr>
          <w:p>
            <w:pPr>
              <w:ind w:left="20"/>
              <w:spacing w:after="0"/>
              <w:rPr>
                <w:sz w:val="20"/>
                <w:szCs w:val="20"/>
                <w:color w:val="auto"/>
              </w:rPr>
            </w:pPr>
            <w:r>
              <w:rPr>
                <w:rFonts w:ascii="Arial" w:cs="Arial" w:eastAsia="Arial" w:hAnsi="Arial"/>
                <w:sz w:val="16"/>
                <w:szCs w:val="16"/>
                <w:color w:val="auto"/>
              </w:rPr>
              <w:t>99.1</w:t>
            </w:r>
          </w:p>
        </w:tc>
        <w:tc>
          <w:tcPr>
            <w:tcW w:w="302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rPr>
              <w:t>Press Release dated December 17, 2025.</w:t>
            </w:r>
          </w:p>
        </w:tc>
      </w:tr>
    </w:tbl>
    <w:p>
      <w:pPr>
        <w:spacing w:after="0" w:line="40" w:lineRule="exact"/>
        <w:rPr>
          <w:sz w:val="20"/>
          <w:szCs w:val="20"/>
          <w:color w:val="auto"/>
        </w:rPr>
      </w:pPr>
    </w:p>
    <w:p>
      <w:pPr>
        <w:ind w:left="1440" w:hanging="1414"/>
        <w:spacing w:after="0"/>
        <w:tabs>
          <w:tab w:leader="none" w:pos="14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Cover Page Interactive Data File (cover page XBRL tags embedded within the Inline XBRL document).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0"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ind w:right="640" w:firstLine="324"/>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420" w:type="dxa"/>
            <w:vAlign w:val="bottom"/>
          </w:tcPr>
          <w:p>
            <w:pPr>
              <w:ind w:left="20"/>
              <w:spacing w:after="0"/>
              <w:rPr>
                <w:sz w:val="20"/>
                <w:szCs w:val="20"/>
                <w:color w:val="auto"/>
              </w:rPr>
            </w:pPr>
            <w:r>
              <w:rPr>
                <w:rFonts w:ascii="Arial" w:cs="Arial" w:eastAsia="Arial" w:hAnsi="Arial"/>
                <w:sz w:val="16"/>
                <w:szCs w:val="16"/>
                <w:color w:val="auto"/>
              </w:rPr>
              <w:t>TALEN ENERGY CORPORATION</w:t>
            </w:r>
          </w:p>
        </w:tc>
      </w:tr>
      <w:tr>
        <w:trPr>
          <w:trHeight w:val="252"/>
        </w:trPr>
        <w:tc>
          <w:tcPr>
            <w:tcW w:w="4080" w:type="dxa"/>
            <w:vAlign w:val="bottom"/>
          </w:tcPr>
          <w:p>
            <w:pPr>
              <w:spacing w:after="0"/>
              <w:rPr>
                <w:sz w:val="20"/>
                <w:szCs w:val="20"/>
                <w:color w:val="auto"/>
              </w:rPr>
            </w:pPr>
            <w:r>
              <w:rPr>
                <w:rFonts w:ascii="Arial" w:cs="Arial" w:eastAsia="Arial" w:hAnsi="Arial"/>
                <w:sz w:val="16"/>
                <w:szCs w:val="16"/>
                <w:color w:val="auto"/>
              </w:rPr>
              <w:t>Date:    December 17, 2025</w:t>
            </w:r>
          </w:p>
        </w:tc>
        <w:tc>
          <w:tcPr>
            <w:tcW w:w="2720" w:type="dxa"/>
            <w:vAlign w:val="bottom"/>
          </w:tcPr>
          <w:p>
            <w:pPr>
              <w:ind w:left="1960"/>
              <w:spacing w:after="0"/>
              <w:rPr>
                <w:sz w:val="20"/>
                <w:szCs w:val="20"/>
                <w:color w:val="auto"/>
              </w:rPr>
            </w:pPr>
            <w:r>
              <w:rPr>
                <w:rFonts w:ascii="Arial" w:cs="Arial" w:eastAsia="Arial" w:hAnsi="Arial"/>
                <w:sz w:val="16"/>
                <w:szCs w:val="16"/>
                <w:color w:val="auto"/>
              </w:rPr>
              <w:t>By:</w:t>
            </w:r>
          </w:p>
        </w:tc>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Cole Muller</w:t>
            </w:r>
          </w:p>
        </w:tc>
      </w:tr>
      <w:tr>
        <w:trPr>
          <w:trHeight w:val="228"/>
        </w:trPr>
        <w:tc>
          <w:tcPr>
            <w:tcW w:w="4080" w:type="dxa"/>
            <w:vAlign w:val="bottom"/>
          </w:tcPr>
          <w:p>
            <w:pPr>
              <w:spacing w:after="0"/>
              <w:rPr>
                <w:sz w:val="19"/>
                <w:szCs w:val="19"/>
                <w:color w:val="auto"/>
              </w:rPr>
            </w:pPr>
          </w:p>
        </w:tc>
        <w:tc>
          <w:tcPr>
            <w:tcW w:w="2720" w:type="dxa"/>
            <w:vAlign w:val="bottom"/>
          </w:tcPr>
          <w:p>
            <w:pPr>
              <w:ind w:left="1960"/>
              <w:spacing w:after="0"/>
              <w:rPr>
                <w:sz w:val="20"/>
                <w:szCs w:val="20"/>
                <w:color w:val="auto"/>
              </w:rPr>
            </w:pPr>
            <w:r>
              <w:rPr>
                <w:rFonts w:ascii="Arial" w:cs="Arial" w:eastAsia="Arial" w:hAnsi="Arial"/>
                <w:sz w:val="16"/>
                <w:szCs w:val="16"/>
                <w:color w:val="auto"/>
              </w:rPr>
              <w:t>Name:</w:t>
            </w:r>
          </w:p>
        </w:tc>
        <w:tc>
          <w:tcPr>
            <w:tcW w:w="4420" w:type="dxa"/>
            <w:vAlign w:val="bottom"/>
          </w:tcPr>
          <w:p>
            <w:pPr>
              <w:ind w:left="20"/>
              <w:spacing w:after="0"/>
              <w:rPr>
                <w:sz w:val="20"/>
                <w:szCs w:val="20"/>
                <w:color w:val="auto"/>
              </w:rPr>
            </w:pPr>
            <w:r>
              <w:rPr>
                <w:rFonts w:ascii="Arial" w:cs="Arial" w:eastAsia="Arial" w:hAnsi="Arial"/>
                <w:sz w:val="16"/>
                <w:szCs w:val="16"/>
                <w:color w:val="auto"/>
              </w:rPr>
              <w:t>Cole Muller</w:t>
            </w:r>
          </w:p>
        </w:tc>
      </w:tr>
      <w:tr>
        <w:trPr>
          <w:trHeight w:val="243"/>
        </w:trPr>
        <w:tc>
          <w:tcPr>
            <w:tcW w:w="4080" w:type="dxa"/>
            <w:vAlign w:val="bottom"/>
          </w:tcPr>
          <w:p>
            <w:pPr>
              <w:spacing w:after="0"/>
              <w:rPr>
                <w:sz w:val="21"/>
                <w:szCs w:val="21"/>
                <w:color w:val="auto"/>
              </w:rPr>
            </w:pPr>
          </w:p>
        </w:tc>
        <w:tc>
          <w:tcPr>
            <w:tcW w:w="2720" w:type="dxa"/>
            <w:vAlign w:val="bottom"/>
          </w:tcPr>
          <w:p>
            <w:pPr>
              <w:ind w:left="1960"/>
              <w:spacing w:after="0"/>
              <w:rPr>
                <w:sz w:val="20"/>
                <w:szCs w:val="20"/>
                <w:color w:val="auto"/>
              </w:rPr>
            </w:pPr>
            <w:r>
              <w:rPr>
                <w:rFonts w:ascii="Arial" w:cs="Arial" w:eastAsia="Arial" w:hAnsi="Arial"/>
                <w:sz w:val="16"/>
                <w:szCs w:val="16"/>
                <w:color w:val="auto"/>
              </w:rPr>
              <w:t>Title:</w:t>
            </w:r>
          </w:p>
        </w:tc>
        <w:tc>
          <w:tcPr>
            <w:tcW w:w="442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880"/>
        <w:spacing w:after="0"/>
        <w:rPr>
          <w:sz w:val="20"/>
          <w:szCs w:val="20"/>
          <w:color w:val="auto"/>
        </w:rPr>
      </w:pPr>
      <w:r>
        <w:rPr>
          <w:rFonts w:ascii="Arial" w:cs="Arial" w:eastAsia="Arial" w:hAnsi="Arial"/>
          <w:sz w:val="16"/>
          <w:szCs w:val="16"/>
          <w:b w:val="1"/>
          <w:bCs w:val="1"/>
          <w:color w:val="auto"/>
        </w:rPr>
        <w:t>Talen Energy Reports PJM Auction Results for the 2027/2028 Planning Year</w:t>
      </w:r>
    </w:p>
    <w:p>
      <w:pPr>
        <w:spacing w:after="0" w:line="167" w:lineRule="exact"/>
        <w:rPr>
          <w:sz w:val="20"/>
          <w:szCs w:val="20"/>
          <w:color w:val="auto"/>
        </w:rPr>
      </w:pPr>
    </w:p>
    <w:p>
      <w:pPr>
        <w:ind w:right="300"/>
        <w:spacing w:after="0" w:line="271" w:lineRule="auto"/>
        <w:rPr>
          <w:sz w:val="20"/>
          <w:szCs w:val="20"/>
          <w:color w:val="auto"/>
        </w:rPr>
      </w:pPr>
      <w:r>
        <w:rPr>
          <w:rFonts w:ascii="Arial" w:cs="Arial" w:eastAsia="Arial" w:hAnsi="Arial"/>
          <w:sz w:val="16"/>
          <w:szCs w:val="16"/>
          <w:b w:val="1"/>
          <w:bCs w:val="1"/>
          <w:color w:val="auto"/>
        </w:rPr>
        <w:t xml:space="preserve">HOUSTON, December 17, 2025 </w:t>
      </w:r>
      <w:r>
        <w:rPr>
          <w:rFonts w:ascii="Arial" w:cs="Arial" w:eastAsia="Arial" w:hAnsi="Arial"/>
          <w:sz w:val="16"/>
          <w:szCs w:val="16"/>
          <w:color w:val="auto"/>
        </w:rPr>
        <w:t>— Talen Energy Corporation</w:t>
      </w:r>
      <w:r>
        <w:rPr>
          <w:rFonts w:ascii="Arial" w:cs="Arial" w:eastAsia="Arial" w:hAnsi="Arial"/>
          <w:sz w:val="16"/>
          <w:szCs w:val="16"/>
          <w:b w:val="1"/>
          <w:bCs w:val="1"/>
          <w:color w:val="auto"/>
        </w:rPr>
        <w:t xml:space="preserve"> (“Talen,” “we,” or “our”) </w:t>
      </w:r>
      <w:r>
        <w:rPr>
          <w:rFonts w:ascii="Arial" w:cs="Arial" w:eastAsia="Arial" w:hAnsi="Arial"/>
          <w:sz w:val="16"/>
          <w:szCs w:val="16"/>
          <w:color w:val="auto"/>
        </w:rPr>
        <w:t>(</w:t>
      </w:r>
      <w:r>
        <w:rPr>
          <w:rFonts w:ascii="Arial" w:cs="Arial" w:eastAsia="Arial" w:hAnsi="Arial"/>
          <w:sz w:val="16"/>
          <w:szCs w:val="16"/>
          <w:u w:val="single" w:color="auto"/>
          <w:color w:val="0E32E1"/>
        </w:rPr>
        <w:t>NASDAQ: TLN</w:t>
      </w:r>
      <w:r>
        <w:rPr>
          <w:rFonts w:ascii="Arial" w:cs="Arial" w:eastAsia="Arial" w:hAnsi="Arial"/>
          <w:sz w:val="16"/>
          <w:szCs w:val="16"/>
          <w:color w:val="auto"/>
        </w:rPr>
        <w:t>), a leading independent power producer, today</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its results from the PJM Base Residual Auction for the 2027/2028 planning year. Talen cleared a total of 8,745 megawatts at a clearing price of $333.44 per megawatt-day across the PJM Interconnection Regional Transmission Organization, equating to approximately $1,067 million in capacity revenues for the 2027/2028 planning year. The planning year runs from June 1, 2027, through May 31, 2028.</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Talen</w:t>
      </w:r>
    </w:p>
    <w:p>
      <w:pPr>
        <w:spacing w:after="0" w:line="154"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Talen Energy (</w:t>
      </w:r>
      <w:r>
        <w:rPr>
          <w:rFonts w:ascii="Arial" w:cs="Arial" w:eastAsia="Arial" w:hAnsi="Arial"/>
          <w:sz w:val="16"/>
          <w:szCs w:val="16"/>
          <w:u w:val="single" w:color="auto"/>
          <w:color w:val="0E32E1"/>
        </w:rPr>
        <w:t>NASDAQ: TLN</w:t>
      </w:r>
      <w:r>
        <w:rPr>
          <w:rFonts w:ascii="Arial" w:cs="Arial" w:eastAsia="Arial" w:hAnsi="Arial"/>
          <w:sz w:val="16"/>
          <w:szCs w:val="16"/>
          <w:color w:val="auto"/>
        </w:rPr>
        <w:t xml:space="preserve">) is a leading independent power producer and energy infrastructure company dedicated to powering the future. We own and operate approximately 13.2 gigawatts of power infrastructure in the United States, including 2.2 gigawatts of nuclear power and a significant dispatchable fossil fleet. We produce and sell electricity, capacity, and ancillary services into wholesale U.S. power markets, with our generation fleet located in the Mid-Atlantic, Ohio and Montana. Our team is committed to generating power safely and reliably,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 w:cs="Arial" w:eastAsia="Arial" w:hAnsi="Arial"/>
          <w:sz w:val="16"/>
          <w:szCs w:val="16"/>
          <w:u w:val="single" w:color="auto"/>
          <w:color w:val="0E32E1"/>
        </w:rPr>
        <w:t>https://www.talenenergy.com/</w:t>
      </w:r>
      <w:r>
        <w:rPr>
          <w:rFonts w:ascii="Arial" w:cs="Arial" w:eastAsia="Arial" w:hAnsi="Arial"/>
          <w:sz w:val="16"/>
          <w:szCs w:val="16"/>
          <w:color w:val="auto"/>
        </w:rPr>
        <w: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Sergio Castro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&amp; Treasurer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32E1"/>
        </w:rPr>
        <w:t>InvestorRelations@talenenergy.com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Media:</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Taryne Williams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Director, Corporate Communications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E32E1"/>
        </w:rPr>
        <w:t>Taryne.Williams@talenenergy.com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54"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the integration of the Company’s acquisitions, including the Freedom and Guernsey acquisitions, and the anticipated performance of the combined company; capital expenditures, earnings, litigation, regulatory matters, hedging, liquidity and capital resources, accounting matters, expectations, beliefs, plans, objectives, goals, strategies, future events or performance, shareholder returns and underlying assumptions.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2025-12-17T16:13:42Z</dcterms:created>
  <dcterms:modified xsi:type="dcterms:W3CDTF">2025-12-17T16:13:42Z</dcterms:modified>
</cp:coreProperties>
</file>