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512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2508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Morice Christopher 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2929 ALLEN PKWY</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Talen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13"/>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87"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37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3"/>
              </w:rPr>
              <w:t>HOUSTON</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9"/>
                <w:szCs w:val="9"/>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77019</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(State)</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rPr>
                <w:sz w:val="20"/>
                <w:szCs w:val="20"/>
                <w:color w:val="auto"/>
              </w:rPr>
            </w:pPr>
            <w:r>
              <w:rPr>
                <w:rFonts w:ascii="Arial" w:cs="Arial" w:eastAsia="Arial" w:hAnsi="Arial"/>
                <w:sz w:val="11"/>
                <w:szCs w:val="11"/>
                <w:b w:val="1"/>
                <w:bCs w:val="1"/>
                <w:color w:val="auto"/>
              </w:rPr>
              <w:t>or Exercise</w:t>
            </w:r>
          </w:p>
        </w:tc>
        <w:tc>
          <w:tcPr>
            <w:tcW w:w="2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20" w:type="dxa"/>
            <w:vAlign w:val="bottom"/>
          </w:tcPr>
          <w:p>
            <w:pPr>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9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3,450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02/26/2026</w:t>
            </w:r>
          </w:p>
        </w:tc>
        <w:tc>
          <w:tcPr>
            <w:tcW w:w="1240" w:type="dxa"/>
            <w:vAlign w:val="bottom"/>
          </w:tcPr>
          <w:p>
            <w:pPr>
              <w:spacing w:after="0"/>
              <w:rPr>
                <w:sz w:val="5"/>
                <w:szCs w:val="5"/>
                <w:color w:val="auto"/>
              </w:rPr>
            </w:pPr>
          </w:p>
        </w:tc>
        <w:tc>
          <w:tcPr>
            <w:tcW w:w="62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540" w:type="dxa"/>
            <w:vAlign w:val="bottom"/>
            <w:vMerge w:val="restart"/>
          </w:tcPr>
          <w:p>
            <w:pPr>
              <w:jc w:val="right"/>
              <w:ind w:right="82"/>
              <w:spacing w:after="0" w:line="141" w:lineRule="exact"/>
              <w:rPr>
                <w:sz w:val="20"/>
                <w:szCs w:val="20"/>
                <w:color w:val="auto"/>
              </w:rPr>
            </w:pPr>
            <w:r>
              <w:rPr>
                <w:rFonts w:ascii="Times New Roman" w:cs="Times New Roman" w:eastAsia="Times New Roman" w:hAnsi="Times New Roman"/>
                <w:sz w:val="13"/>
                <w:szCs w:val="13"/>
                <w:color w:val="0000FF"/>
              </w:rPr>
              <w:t>3,450</w:t>
            </w: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3,450</w:t>
            </w:r>
          </w:p>
        </w:tc>
        <w:tc>
          <w:tcPr>
            <w:tcW w:w="300" w:type="dxa"/>
            <w:vAlign w:val="bottom"/>
          </w:tcPr>
          <w:p>
            <w:pPr>
              <w:spacing w:after="0"/>
              <w:rPr>
                <w:sz w:val="5"/>
                <w:szCs w:val="5"/>
                <w:color w:val="auto"/>
              </w:rPr>
            </w:pPr>
          </w:p>
        </w:tc>
        <w:tc>
          <w:tcPr>
            <w:tcW w:w="6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9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16,096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Based</w:t>
            </w:r>
          </w:p>
        </w:tc>
        <w:tc>
          <w:tcPr>
            <w:tcW w:w="720" w:type="dxa"/>
            <w:vAlign w:val="bottom"/>
            <w:vMerge w:val="continue"/>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02/26/2026</w:t>
            </w:r>
          </w:p>
        </w:tc>
        <w:tc>
          <w:tcPr>
            <w:tcW w:w="1240" w:type="dxa"/>
            <w:vAlign w:val="bottom"/>
          </w:tcPr>
          <w:p>
            <w:pPr>
              <w:spacing w:after="0"/>
              <w:rPr>
                <w:sz w:val="11"/>
                <w:szCs w:val="11"/>
                <w:color w:val="auto"/>
              </w:rPr>
            </w:pPr>
          </w:p>
        </w:tc>
        <w:tc>
          <w:tcPr>
            <w:tcW w:w="62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40" w:type="dxa"/>
            <w:vAlign w:val="bottom"/>
          </w:tcPr>
          <w:p>
            <w:pPr>
              <w:jc w:val="right"/>
              <w:ind w:right="42"/>
              <w:spacing w:after="0" w:line="128" w:lineRule="exact"/>
              <w:rPr>
                <w:sz w:val="20"/>
                <w:szCs w:val="20"/>
                <w:color w:val="auto"/>
              </w:rPr>
            </w:pPr>
            <w:r>
              <w:rPr>
                <w:rFonts w:ascii="Times New Roman" w:cs="Times New Roman" w:eastAsia="Times New Roman" w:hAnsi="Times New Roman"/>
                <w:sz w:val="13"/>
                <w:szCs w:val="13"/>
                <w:color w:val="0000FF"/>
              </w:rPr>
              <w:t>16,096</w:t>
            </w:r>
          </w:p>
        </w:tc>
        <w:tc>
          <w:tcPr>
            <w:tcW w:w="3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223"/>
              <w:spacing w:after="0" w:line="128" w:lineRule="exact"/>
              <w:rPr>
                <w:sz w:val="20"/>
                <w:szCs w:val="20"/>
                <w:color w:val="auto"/>
              </w:rPr>
            </w:pPr>
            <w:r>
              <w:rPr>
                <w:rFonts w:ascii="Times New Roman" w:cs="Times New Roman" w:eastAsia="Times New Roman" w:hAnsi="Times New Roman"/>
                <w:sz w:val="13"/>
                <w:szCs w:val="13"/>
                <w:color w:val="0000FF"/>
              </w:rPr>
              <w:t>16,096</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was issued under the Talen Energy Corporation 2023 Equity Incentive Plan (the "Plan") and represents a contingent right to receive one share of common stock, par value $0.001 ("common stock"), of Talen Energy Corporation (the "Company") or its cash equivalent, as determined at the time of settlement by the Compensation Committee of the Company's Board of Directors (the "Committee") pursuant to the terms of the Plan.</w:t>
      </w:r>
    </w:p>
    <w:p>
      <w:pPr>
        <w:spacing w:after="0" w:line="26" w:lineRule="exact"/>
        <w:rPr>
          <w:rFonts w:ascii="Times New Roman" w:cs="Times New Roman" w:eastAsia="Times New Roman" w:hAnsi="Times New Roman"/>
          <w:sz w:val="13"/>
          <w:szCs w:val="13"/>
          <w:color w:val="008000"/>
        </w:rPr>
      </w:pPr>
    </w:p>
    <w:p>
      <w:pPr>
        <w:ind w:left="40" w:right="4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1,380 RSUs that will vest on February 25, 2027, 1,380 RSUs that will vest on February 25, 2028 and 690 RSUs that will vest on February 25, 2029, in each case subject to the reporting person's continued service.</w:t>
      </w:r>
    </w:p>
    <w:p>
      <w:pPr>
        <w:spacing w:after="0" w:line="20" w:lineRule="exact"/>
        <w:rPr>
          <w:rFonts w:ascii="Times New Roman" w:cs="Times New Roman" w:eastAsia="Times New Roman" w:hAnsi="Times New Roman"/>
          <w:sz w:val="13"/>
          <w:szCs w:val="13"/>
          <w:color w:val="008000"/>
        </w:rPr>
      </w:pPr>
    </w:p>
    <w:p>
      <w:pPr>
        <w:ind w:left="40" w:right="4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("PSU") was issued under the Plan and represents a contingent right to receive one share of common stock or its cash equivalent, as determined at the time of settlement by the Committee pursuant to the terms of the Plan.</w:t>
      </w:r>
    </w:p>
    <w:p>
      <w:pPr>
        <w:spacing w:after="0" w:line="20" w:lineRule="exact"/>
        <w:rPr>
          <w:rFonts w:ascii="Times New Roman" w:cs="Times New Roman" w:eastAsia="Times New Roman" w:hAnsi="Times New Roman"/>
          <w:sz w:val="13"/>
          <w:szCs w:val="13"/>
          <w:color w:val="008000"/>
        </w:rPr>
      </w:pPr>
    </w:p>
    <w:p>
      <w:pPr>
        <w:ind w:left="40" w:right="200"/>
        <w:spacing w:after="0" w:line="25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PSUs that will vest subject to the reporting person's (i) continued service and (ii) achievement of applicable performance goals. 6,438 of the PSUs will be eligible to vest based on performance as of February 25, 2028 and 9,658 of the PSUs will be eligible to vest based on performance as of February 25, 2029. The number of PSUs that vest can range from 0% to 200% of the target number of PSUs subject to the award, plus, if the maximum performance level is exceeded, an additional number of PSUs in an amount equal to the reporting person's proportionate share among the participating executive officers of 3% of the Company's market capitalization above the maximum performance level. The numbers of PSUs and shares of common stock in this row represent the maximum level of performance (or 200%) for each award.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 Wander, attorney-in- </w:t>
      </w:r>
      <w:r>
        <w:rPr>
          <w:rFonts w:ascii="Times New Roman" w:cs="Times New Roman" w:eastAsia="Times New Roman" w:hAnsi="Times New Roman"/>
          <w:sz w:val="33"/>
          <w:szCs w:val="33"/>
          <w:color w:val="0000FF"/>
          <w:vertAlign w:val="subscript"/>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57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74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28530" TargetMode="External"/><Relationship Id="rId14" Type="http://schemas.openxmlformats.org/officeDocument/2006/relationships/hyperlink" Target="http://www.sec.gov/cgi-bin/browse-edgar?action=getcompany&amp;CIK=0001622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2026-03-02T16:49:45Z</dcterms:created>
  <dcterms:modified xsi:type="dcterms:W3CDTF">2026-03-02T16:49:45Z</dcterms:modified>
</cp:coreProperties>
</file>