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760"/>
              <w:spacing w:after="0" w:line="209" w:lineRule="exact"/>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6" w:lineRule="exact"/>
              <w:rPr>
                <w:sz w:val="20"/>
                <w:szCs w:val="20"/>
                <w:color w:val="auto"/>
              </w:rPr>
            </w:pPr>
            <w:r>
              <w:rPr>
                <w:rFonts w:ascii="Arial" w:cs="Arial" w:eastAsia="Arial" w:hAnsi="Arial"/>
                <w:sz w:val="16"/>
                <w:szCs w:val="16"/>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6930390</wp:posOffset>
            </wp:positionH>
            <wp:positionV relativeFrom="paragraph">
              <wp:posOffset>-505460</wp:posOffset>
            </wp:positionV>
            <wp:extent cx="51435"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7019290" cy="2966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290" cy="2966720"/>
                    </a:xfrm>
                    <a:prstGeom prst="rect">
                      <a:avLst/>
                    </a:prstGeom>
                    <a:noFill/>
                  </pic:spPr>
                </pic:pic>
              </a:graphicData>
            </a:graphic>
          </wp:anchor>
        </w:drawing>
      </w:r>
    </w:p>
    <w:p>
      <w:pPr>
        <w:sectPr>
          <w:pgSz w:w="11900" w:h="16838" w:orient="portrait"/>
          <w:cols w:equalWidth="0" w:num="1">
            <w:col w:w="11020"/>
          </w:cols>
          <w:pgMar w:left="440" w:top="202" w:right="439" w:bottom="1440" w:gutter="0" w:footer="0" w:header="0"/>
        </w:sectPr>
      </w:pPr>
    </w:p>
    <w:p>
      <w:pPr>
        <w:spacing w:after="0" w:line="42"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208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10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restart"/>
          </w:tcPr>
          <w:p>
            <w:pPr>
              <w:spacing w:after="0" w:line="187" w:lineRule="exact"/>
              <w:rPr>
                <w:rFonts w:ascii="Times New Roman" w:cs="Times New Roman" w:eastAsia="Times New Roman" w:hAnsi="Times New Roman"/>
                <w:sz w:val="17"/>
                <w:szCs w:val="17"/>
                <w:color w:val="0000EE"/>
                <w:w w:val="96"/>
              </w:rPr>
            </w:pPr>
            <w:hyperlink r:id="rId11">
              <w:r>
                <w:rPr>
                  <w:rFonts w:ascii="Times New Roman" w:cs="Times New Roman" w:eastAsia="Times New Roman" w:hAnsi="Times New Roman"/>
                  <w:sz w:val="17"/>
                  <w:szCs w:val="17"/>
                  <w:color w:val="0000EE"/>
                  <w:w w:val="96"/>
                </w:rPr>
                <w:t>Kelly Daniel Jude</w:t>
              </w:r>
            </w:hyperlink>
          </w:p>
        </w:tc>
        <w:tc>
          <w:tcPr>
            <w:tcW w:w="8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ind w:left="120"/>
              <w:spacing w:after="0" w:line="94" w:lineRule="exact"/>
              <w:rPr>
                <w:sz w:val="20"/>
                <w:szCs w:val="20"/>
                <w:color w:val="auto"/>
              </w:rPr>
            </w:pPr>
            <w:r>
              <w:rPr>
                <w:rFonts w:ascii="Arial" w:cs="Arial" w:eastAsia="Arial" w:hAnsi="Arial"/>
                <w:sz w:val="10"/>
                <w:szCs w:val="10"/>
                <w:color w:val="auto"/>
              </w:rPr>
              <w:t>Statement (Month/Day/Year)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Borders>
              <w:bottom w:val="single" w:sz="8" w:color="0000EE"/>
            </w:tcBorders>
            <w:gridSpan w:val="2"/>
            <w:vMerge w:val="continue"/>
          </w:tcPr>
          <w:p>
            <w:pPr>
              <w:spacing w:after="0"/>
              <w:rPr>
                <w:sz w:val="9"/>
                <w:szCs w:val="9"/>
                <w:color w:val="auto"/>
              </w:rPr>
            </w:pPr>
          </w:p>
        </w:tc>
        <w:tc>
          <w:tcPr>
            <w:tcW w:w="840" w:type="dxa"/>
            <w:vAlign w:val="bottom"/>
            <w:vMerge w:val="restart"/>
          </w:tcPr>
          <w:p>
            <w:pPr>
              <w:spacing w:after="0"/>
              <w:rPr>
                <w:sz w:val="9"/>
                <w:szCs w:val="9"/>
                <w:color w:val="auto"/>
              </w:rPr>
            </w:pPr>
          </w:p>
        </w:tc>
        <w:tc>
          <w:tcPr>
            <w:tcW w:w="252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3"/>
                <w:szCs w:val="13"/>
                <w:color w:val="0000FF"/>
              </w:rPr>
              <w:t>05/20/2026</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gridSpan w:val="2"/>
          </w:tcPr>
          <w:p>
            <w:pPr>
              <w:spacing w:after="0"/>
              <w:rPr>
                <w:sz w:val="3"/>
                <w:szCs w:val="3"/>
                <w:color w:val="auto"/>
              </w:rPr>
            </w:pPr>
          </w:p>
        </w:tc>
        <w:tc>
          <w:tcPr>
            <w:tcW w:w="84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0"/>
                <w:szCs w:val="10"/>
                <w:color w:val="auto"/>
              </w:rPr>
              <w:t>(Last)</w:t>
            </w:r>
          </w:p>
        </w:tc>
        <w:tc>
          <w:tcPr>
            <w:tcW w:w="1200" w:type="dxa"/>
            <w:vAlign w:val="bottom"/>
            <w:gridSpan w:val="2"/>
          </w:tcPr>
          <w:p>
            <w:pPr>
              <w:ind w:left="22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6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2929 ALLEN PKWY, SUITE 2200</w:t>
            </w: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880" w:type="dxa"/>
            <w:vAlign w:val="bottom"/>
            <w:gridSpan w:val="3"/>
          </w:tcPr>
          <w:p>
            <w:pPr>
              <w:spacing w:after="0"/>
              <w:rPr>
                <w:sz w:val="20"/>
                <w:szCs w:val="20"/>
                <w:color w:val="auto"/>
              </w:rPr>
            </w:pPr>
            <w:r>
              <w:rPr>
                <w:rFonts w:ascii="Arial" w:cs="Arial" w:eastAsia="Arial" w:hAnsi="Arial"/>
                <w:sz w:val="10"/>
                <w:szCs w:val="10"/>
                <w:color w:val="auto"/>
              </w:rPr>
              <w:t>(Street)</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3"/>
                <w:szCs w:val="13"/>
                <w:color w:val="0000FF"/>
              </w:rPr>
              <w:t>HOUSTON</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TX</w:t>
            </w:r>
          </w:p>
        </w:tc>
        <w:tc>
          <w:tcPr>
            <w:tcW w:w="11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77019</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3.</w:t>
            </w:r>
          </w:p>
        </w:tc>
        <w:tc>
          <w:tcPr>
            <w:tcW w:w="2000" w:type="dxa"/>
            <w:vAlign w:val="bottom"/>
            <w:gridSpan w:val="2"/>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140" w:type="dxa"/>
            <w:vAlign w:val="bottom"/>
            <w:gridSpan w:val="4"/>
          </w:tcPr>
          <w:p>
            <w:pPr>
              <w:ind w:left="40"/>
              <w:spacing w:after="0" w:line="176" w:lineRule="exact"/>
              <w:rPr>
                <w:rFonts w:ascii="Times New Roman" w:cs="Times New Roman" w:eastAsia="Times New Roman" w:hAnsi="Times New Roman"/>
                <w:sz w:val="17"/>
                <w:szCs w:val="17"/>
                <w:color w:val="0000EE"/>
              </w:rPr>
            </w:pPr>
            <w:hyperlink r:id="rId12">
              <w:r>
                <w:rPr>
                  <w:rFonts w:ascii="Times New Roman" w:cs="Times New Roman" w:eastAsia="Times New Roman" w:hAnsi="Times New Roman"/>
                  <w:sz w:val="17"/>
                  <w:szCs w:val="17"/>
                  <w:color w:val="0000EE"/>
                </w:rPr>
                <w:t xml:space="preserve">Talen Energy Corp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3"/>
                <w:szCs w:val="13"/>
                <w:color w:val="0000FF"/>
              </w:rPr>
              <w:t>TLN</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2C2C2C"/>
            </w:tcBorders>
          </w:tcPr>
          <w:p>
            <w:pPr>
              <w:spacing w:after="0"/>
              <w:rPr>
                <w:sz w:val="19"/>
                <w:szCs w:val="19"/>
                <w:color w:val="auto"/>
              </w:rPr>
            </w:pPr>
          </w:p>
        </w:tc>
        <w:tc>
          <w:tcPr>
            <w:tcW w:w="100" w:type="dxa"/>
            <w:vAlign w:val="bottom"/>
            <w:tcBorders>
              <w:top w:val="single" w:sz="8" w:color="0000EE"/>
              <w:bottom w:val="single" w:sz="8" w:color="2C2C2C"/>
            </w:tcBorders>
          </w:tcPr>
          <w:p>
            <w:pPr>
              <w:spacing w:after="0"/>
              <w:rPr>
                <w:sz w:val="19"/>
                <w:szCs w:val="19"/>
                <w:color w:val="auto"/>
              </w:rPr>
            </w:pPr>
          </w:p>
        </w:tc>
        <w:tc>
          <w:tcPr>
            <w:tcW w:w="1160" w:type="dxa"/>
            <w:vAlign w:val="bottom"/>
            <w:tcBorders>
              <w:top w:val="single" w:sz="8" w:color="0000EE"/>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116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260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4.</w:t>
            </w:r>
          </w:p>
        </w:tc>
        <w:tc>
          <w:tcPr>
            <w:tcW w:w="3160" w:type="dxa"/>
            <w:vAlign w:val="bottom"/>
            <w:gridSpan w:val="3"/>
          </w:tcPr>
          <w:p>
            <w:pPr>
              <w:ind w:left="20"/>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0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36"/>
        </w:trPr>
        <w:tc>
          <w:tcPr>
            <w:tcW w:w="2140" w:type="dxa"/>
            <w:vAlign w:val="bottom"/>
            <w:gridSpan w:val="4"/>
          </w:tcPr>
          <w:p>
            <w:pPr>
              <w:ind w:left="40"/>
              <w:spacing w:after="0"/>
              <w:rPr>
                <w:sz w:val="20"/>
                <w:szCs w:val="20"/>
                <w:color w:val="auto"/>
              </w:rPr>
            </w:pPr>
            <w:r>
              <w:rPr>
                <w:rFonts w:ascii="Arial" w:cs="Arial" w:eastAsia="Arial" w:hAnsi="Arial"/>
                <w:sz w:val="10"/>
                <w:szCs w:val="10"/>
                <w:color w:val="auto"/>
              </w:rPr>
              <w:t>(Check all applicable)</w:t>
            </w: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0" w:type="dxa"/>
            <w:vAlign w:val="bottom"/>
            <w:gridSpan w:val="2"/>
            <w:vMerge w:val="restart"/>
          </w:tcPr>
          <w:p>
            <w:pPr>
              <w:ind w:left="420"/>
              <w:spacing w:after="0"/>
              <w:rPr>
                <w:sz w:val="20"/>
                <w:szCs w:val="20"/>
                <w:color w:val="auto"/>
              </w:rPr>
            </w:pPr>
            <w:r>
              <w:rPr>
                <w:rFonts w:ascii="Arial" w:cs="Arial" w:eastAsia="Arial" w:hAnsi="Arial"/>
                <w:sz w:val="10"/>
                <w:szCs w:val="10"/>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gridSpan w:val="2"/>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00" w:type="dxa"/>
            <w:vAlign w:val="bottom"/>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gridSpan w:val="2"/>
          </w:tcPr>
          <w:p>
            <w:pPr>
              <w:ind w:left="420"/>
              <w:spacing w:after="0"/>
              <w:rPr>
                <w:sz w:val="20"/>
                <w:szCs w:val="20"/>
                <w:color w:val="auto"/>
              </w:rPr>
            </w:pPr>
            <w:r>
              <w:rPr>
                <w:rFonts w:ascii="Arial" w:cs="Arial" w:eastAsia="Arial" w:hAnsi="Arial"/>
                <w:sz w:val="10"/>
                <w:szCs w:val="10"/>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11"/>
                <w:szCs w:val="11"/>
                <w:color w:val="auto"/>
              </w:rPr>
            </w:pP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0" w:type="dxa"/>
            <w:vAlign w:val="bottom"/>
            <w:gridSpan w:val="2"/>
            <w:vMerge w:val="restart"/>
          </w:tcPr>
          <w:p>
            <w:pPr>
              <w:ind w:left="420"/>
              <w:spacing w:after="0"/>
              <w:rPr>
                <w:sz w:val="20"/>
                <w:szCs w:val="20"/>
                <w:color w:val="auto"/>
              </w:rPr>
            </w:pPr>
            <w:r>
              <w:rPr>
                <w:rFonts w:ascii="Arial" w:cs="Arial" w:eastAsia="Arial" w:hAnsi="Arial"/>
                <w:sz w:val="10"/>
                <w:szCs w:val="10"/>
                <w:color w:val="auto"/>
              </w:rPr>
              <w:t>below)</w:t>
            </w:r>
          </w:p>
        </w:tc>
        <w:tc>
          <w:tcPr>
            <w:tcW w:w="11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600" w:type="dxa"/>
            <w:vAlign w:val="bottom"/>
            <w:vMerge w:val="restart"/>
          </w:tcPr>
          <w:p>
            <w:pPr>
              <w:ind w:left="34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0" w:type="dxa"/>
            <w:vAlign w:val="bottom"/>
            <w:gridSpan w:val="2"/>
            <w:vMerge w:val="continue"/>
          </w:tcPr>
          <w:p>
            <w:pPr>
              <w:spacing w:after="0"/>
              <w:rPr>
                <w:sz w:val="7"/>
                <w:szCs w:val="7"/>
                <w:color w:val="auto"/>
              </w:rPr>
            </w:pPr>
          </w:p>
        </w:tc>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0000FF"/>
              </w:rPr>
              <w:t>Gen. Counsel &amp; Corp. Secretary</w:t>
            </w:r>
          </w:p>
        </w:tc>
        <w:tc>
          <w:tcPr>
            <w:tcW w:w="140" w:type="dxa"/>
            <w:vAlign w:val="bottom"/>
          </w:tcPr>
          <w:p>
            <w:pPr>
              <w:spacing w:after="0"/>
              <w:rPr>
                <w:sz w:val="15"/>
                <w:szCs w:val="15"/>
                <w:color w:val="auto"/>
              </w:rPr>
            </w:pPr>
          </w:p>
        </w:tc>
        <w:tc>
          <w:tcPr>
            <w:tcW w:w="2600" w:type="dxa"/>
            <w:vAlign w:val="bottom"/>
          </w:tcPr>
          <w:p>
            <w:pPr>
              <w:ind w:left="3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290" w:lineRule="exact"/>
        <w:rPr>
          <w:sz w:val="24"/>
          <w:szCs w:val="24"/>
          <w:color w:val="auto"/>
        </w:rPr>
      </w:pPr>
    </w:p>
    <w:p>
      <w:pPr>
        <w:sectPr>
          <w:pgSz w:w="11900" w:h="16838" w:orient="portrait"/>
          <w:cols w:equalWidth="0" w:num="2">
            <w:col w:w="4660" w:space="300"/>
            <w:col w:w="6060"/>
          </w:cols>
          <w:pgMar w:left="440" w:top="202" w:right="439" w:bottom="1440" w:gutter="0" w:footer="0" w:header="0"/>
          <w:type w:val="continuous"/>
        </w:sectPr>
      </w:pPr>
    </w:p>
    <w:p>
      <w:pPr>
        <w:spacing w:after="0" w:line="40"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700" w:type="dxa"/>
            <w:vAlign w:val="bottom"/>
          </w:tcPr>
          <w:p>
            <w:pPr>
              <w:ind w:left="1760"/>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920" w:type="dxa"/>
            <w:vAlign w:val="bottom"/>
            <w:gridSpan w:val="2"/>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4"/>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370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50"/>
        </w:trPr>
        <w:tc>
          <w:tcPr>
            <w:tcW w:w="20" w:type="dxa"/>
            <w:vAlign w:val="bottom"/>
            <w:tcBorders>
              <w:bottom w:val="single" w:sz="8" w:color="2C2C2C"/>
            </w:tcBorders>
          </w:tcPr>
          <w:p>
            <w:pPr>
              <w:spacing w:after="0"/>
              <w:rPr>
                <w:sz w:val="3"/>
                <w:szCs w:val="3"/>
                <w:color w:val="auto"/>
              </w:rPr>
            </w:pPr>
          </w:p>
        </w:tc>
        <w:tc>
          <w:tcPr>
            <w:tcW w:w="3120" w:type="dxa"/>
            <w:vAlign w:val="bottom"/>
            <w:tcBorders>
              <w:bottom w:val="single" w:sz="8" w:color="2C2C2C"/>
            </w:tcBorders>
          </w:tcPr>
          <w:p>
            <w:pPr>
              <w:spacing w:after="0"/>
              <w:rPr>
                <w:sz w:val="3"/>
                <w:szCs w:val="3"/>
                <w:color w:val="auto"/>
              </w:rPr>
            </w:pPr>
          </w:p>
        </w:tc>
        <w:tc>
          <w:tcPr>
            <w:tcW w:w="37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20" w:type="dxa"/>
            <w:vAlign w:val="bottom"/>
            <w:tcBorders>
              <w:top w:val="single" w:sz="8" w:color="808080"/>
            </w:tcBorders>
            <w:shd w:val="clear" w:color="auto" w:fill="2C2C2C"/>
          </w:tcPr>
          <w:p>
            <w:pPr>
              <w:spacing w:after="0" w:line="20" w:lineRule="exact"/>
              <w:rPr>
                <w:sz w:val="1"/>
                <w:szCs w:val="1"/>
                <w:color w:val="auto"/>
              </w:rPr>
            </w:pPr>
          </w:p>
        </w:tc>
        <w:tc>
          <w:tcPr>
            <w:tcW w:w="3700" w:type="dxa"/>
            <w:vAlign w:val="bottom"/>
            <w:tcBorders>
              <w:top w:val="single" w:sz="8" w:color="808080"/>
            </w:tcBorders>
            <w:shd w:val="clear" w:color="auto" w:fill="2C2C2C"/>
          </w:tcPr>
          <w:p>
            <w:pPr>
              <w:spacing w:after="0" w:line="20" w:lineRule="exact"/>
              <w:rPr>
                <w:sz w:val="1"/>
                <w:szCs w:val="1"/>
                <w:color w:val="auto"/>
              </w:rPr>
            </w:pPr>
          </w:p>
        </w:tc>
        <w:tc>
          <w:tcPr>
            <w:tcW w:w="1260" w:type="dxa"/>
            <w:vAlign w:val="bottom"/>
            <w:tcBorders>
              <w:top w:val="single" w:sz="8" w:color="808080"/>
            </w:tcBorders>
            <w:shd w:val="clear" w:color="auto" w:fill="2C2C2C"/>
          </w:tcPr>
          <w:p>
            <w:pPr>
              <w:spacing w:after="0" w:line="20" w:lineRule="exact"/>
              <w:rPr>
                <w:sz w:val="1"/>
                <w:szCs w:val="1"/>
                <w:color w:val="auto"/>
              </w:rPr>
            </w:pPr>
          </w:p>
        </w:tc>
        <w:tc>
          <w:tcPr>
            <w:tcW w:w="29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68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130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w:t>
            </w:r>
          </w:p>
        </w:tc>
        <w:tc>
          <w:tcPr>
            <w:tcW w:w="720" w:type="dxa"/>
            <w:vAlign w:val="bottom"/>
          </w:tcPr>
          <w:p>
            <w:pPr>
              <w:ind w:left="40"/>
              <w:spacing w:after="0"/>
              <w:rPr>
                <w:sz w:val="20"/>
                <w:szCs w:val="20"/>
                <w:color w:val="auto"/>
              </w:rPr>
            </w:pPr>
            <w:r>
              <w:rPr>
                <w:rFonts w:ascii="Arial" w:cs="Arial" w:eastAsia="Arial" w:hAnsi="Arial"/>
                <w:sz w:val="10"/>
                <w:szCs w:val="10"/>
                <w:b w:val="1"/>
                <w:bCs w:val="1"/>
                <w:color w:val="auto"/>
              </w:rPr>
              <w:t>4.</w:t>
            </w:r>
          </w:p>
        </w:tc>
        <w:tc>
          <w:tcPr>
            <w:tcW w:w="86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40" w:type="dxa"/>
            <w:vAlign w:val="bottom"/>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3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Expiration Date</w:t>
            </w:r>
          </w:p>
        </w:tc>
        <w:tc>
          <w:tcPr>
            <w:tcW w:w="18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960" w:type="dxa"/>
            <w:vAlign w:val="bottom"/>
          </w:tcPr>
          <w:p>
            <w:pPr>
              <w:spacing w:after="0"/>
              <w:rPr>
                <w:sz w:val="9"/>
                <w:szCs w:val="9"/>
                <w:color w:val="auto"/>
              </w:rPr>
            </w:pP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Conversion</w:t>
            </w:r>
          </w:p>
        </w:tc>
        <w:tc>
          <w:tcPr>
            <w:tcW w:w="86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64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3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(Month/Day/Year)</w:t>
            </w:r>
          </w:p>
        </w:tc>
        <w:tc>
          <w:tcPr>
            <w:tcW w:w="1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or Exercise</w:t>
            </w:r>
          </w:p>
        </w:tc>
        <w:tc>
          <w:tcPr>
            <w:tcW w:w="86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40" w:type="dxa"/>
            <w:vAlign w:val="bottom"/>
          </w:tcPr>
          <w:p>
            <w:pPr>
              <w:spacing w:after="0"/>
              <w:rPr>
                <w:sz w:val="4"/>
                <w:szCs w:val="4"/>
                <w:color w:val="auto"/>
              </w:rPr>
            </w:pPr>
          </w:p>
        </w:tc>
        <w:tc>
          <w:tcPr>
            <w:tcW w:w="334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20" w:type="dxa"/>
            <w:vAlign w:val="bottom"/>
            <w:vMerge w:val="restart"/>
          </w:tcPr>
          <w:p>
            <w:pPr>
              <w:ind w:left="40"/>
              <w:spacing w:after="0" w:line="114" w:lineRule="exact"/>
              <w:rPr>
                <w:sz w:val="20"/>
                <w:szCs w:val="20"/>
                <w:color w:val="auto"/>
              </w:rPr>
            </w:pPr>
            <w:r>
              <w:rPr>
                <w:rFonts w:ascii="Arial" w:cs="Arial" w:eastAsia="Arial" w:hAnsi="Arial"/>
                <w:sz w:val="10"/>
                <w:szCs w:val="10"/>
                <w:b w:val="1"/>
                <w:bCs w:val="1"/>
                <w:color w:val="auto"/>
              </w:rPr>
              <w:t>Price of</w:t>
            </w:r>
          </w:p>
        </w:tc>
        <w:tc>
          <w:tcPr>
            <w:tcW w:w="86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3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960" w:type="dxa"/>
            <w:vAlign w:val="bottom"/>
            <w:vMerge w:val="restart"/>
          </w:tcPr>
          <w:p>
            <w:pPr>
              <w:jc w:val="center"/>
              <w:ind w:left="222"/>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3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720" w:type="dxa"/>
            <w:vAlign w:val="bottom"/>
          </w:tcPr>
          <w:p>
            <w:pPr>
              <w:ind w:left="40"/>
              <w:spacing w:after="0" w:line="104" w:lineRule="exact"/>
              <w:rPr>
                <w:sz w:val="20"/>
                <w:szCs w:val="20"/>
                <w:color w:val="auto"/>
              </w:rPr>
            </w:pPr>
            <w:r>
              <w:rPr>
                <w:rFonts w:ascii="Arial" w:cs="Arial" w:eastAsia="Arial" w:hAnsi="Arial"/>
                <w:sz w:val="10"/>
                <w:szCs w:val="10"/>
                <w:b w:val="1"/>
                <w:bCs w:val="1"/>
                <w:color w:val="auto"/>
              </w:rPr>
              <w:t>Derivative</w:t>
            </w: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68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Date</w:t>
            </w:r>
          </w:p>
        </w:tc>
        <w:tc>
          <w:tcPr>
            <w:tcW w:w="62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rPr>
              <w:t>Expiration</w:t>
            </w:r>
          </w:p>
        </w:tc>
        <w:tc>
          <w:tcPr>
            <w:tcW w:w="18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960" w:type="dxa"/>
            <w:vAlign w:val="bottom"/>
          </w:tcPr>
          <w:p>
            <w:pPr>
              <w:jc w:val="center"/>
              <w:ind w:left="222"/>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Security</w:t>
            </w: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1820" w:type="dxa"/>
            <w:vAlign w:val="bottom"/>
            <w:vMerge w:val="continue"/>
          </w:tcPr>
          <w:p>
            <w:pPr>
              <w:spacing w:after="0"/>
              <w:rPr>
                <w:sz w:val="12"/>
                <w:szCs w:val="12"/>
                <w:color w:val="auto"/>
              </w:rPr>
            </w:pPr>
          </w:p>
        </w:tc>
        <w:tc>
          <w:tcPr>
            <w:tcW w:w="960" w:type="dxa"/>
            <w:vAlign w:val="bottom"/>
          </w:tcPr>
          <w:p>
            <w:pPr>
              <w:ind w:left="3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340" w:type="dxa"/>
            <w:vAlign w:val="bottom"/>
            <w:tcBorders>
              <w:bottom w:val="single" w:sz="8" w:color="2C2C2C"/>
            </w:tcBorders>
          </w:tcPr>
          <w:p>
            <w:pPr>
              <w:spacing w:after="0"/>
              <w:rPr>
                <w:sz w:val="2"/>
                <w:szCs w:val="2"/>
                <w:color w:val="auto"/>
              </w:rPr>
            </w:pPr>
          </w:p>
        </w:tc>
        <w:tc>
          <w:tcPr>
            <w:tcW w:w="33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2026</w:t>
            </w:r>
          </w:p>
        </w:tc>
        <w:tc>
          <w:tcPr>
            <w:tcW w:w="3340" w:type="dxa"/>
            <w:vAlign w:val="bottom"/>
          </w:tcPr>
          <w:p>
            <w:pPr>
              <w:spacing w:after="0"/>
              <w:rPr>
                <w:sz w:val="20"/>
                <w:szCs w:val="20"/>
                <w:color w:val="auto"/>
              </w:rPr>
            </w:pPr>
            <w:r>
              <w:rPr>
                <w:rFonts w:ascii="Times New Roman" w:cs="Times New Roman" w:eastAsia="Times New Roman" w:hAnsi="Times New Roman"/>
                <w:sz w:val="13"/>
                <w:szCs w:val="13"/>
                <w:color w:val="0000FF"/>
              </w:rPr>
              <w:t>Restricted Stock Units</w:t>
            </w:r>
          </w:p>
        </w:tc>
        <w:tc>
          <w:tcPr>
            <w:tcW w:w="680" w:type="dxa"/>
            <w:vAlign w:val="bottom"/>
          </w:tcPr>
          <w:p>
            <w:pPr>
              <w:ind w:left="300"/>
              <w:spacing w:after="0"/>
              <w:rPr>
                <w:sz w:val="20"/>
                <w:szCs w:val="20"/>
                <w:color w:val="auto"/>
              </w:rPr>
            </w:pPr>
            <w:r>
              <w:rPr>
                <w:rFonts w:ascii="Times New Roman" w:cs="Times New Roman" w:eastAsia="Times New Roman" w:hAnsi="Times New Roman"/>
                <w:sz w:val="9"/>
                <w:szCs w:val="9"/>
                <w:color w:val="008000"/>
              </w:rPr>
              <w:t>(1)</w:t>
            </w:r>
          </w:p>
        </w:tc>
        <w:tc>
          <w:tcPr>
            <w:tcW w:w="6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4"/>
              </w:rPr>
              <w:t>(1)</w:t>
            </w:r>
          </w:p>
        </w:tc>
        <w:tc>
          <w:tcPr>
            <w:tcW w:w="1820" w:type="dxa"/>
            <w:vAlign w:val="bottom"/>
          </w:tcPr>
          <w:p>
            <w:pPr>
              <w:ind w:left="640"/>
              <w:spacing w:after="0"/>
              <w:rPr>
                <w:sz w:val="20"/>
                <w:szCs w:val="20"/>
                <w:color w:val="auto"/>
              </w:rPr>
            </w:pPr>
            <w:r>
              <w:rPr>
                <w:rFonts w:ascii="Times New Roman" w:cs="Times New Roman" w:eastAsia="Times New Roman" w:hAnsi="Times New Roman"/>
                <w:sz w:val="13"/>
                <w:szCs w:val="13"/>
                <w:color w:val="0000FF"/>
              </w:rPr>
              <w:t>Common Stock</w:t>
            </w:r>
          </w:p>
        </w:tc>
        <w:tc>
          <w:tcPr>
            <w:tcW w:w="960" w:type="dxa"/>
            <w:vAlign w:val="bottom"/>
          </w:tcPr>
          <w:p>
            <w:pPr>
              <w:jc w:val="center"/>
              <w:ind w:left="242"/>
              <w:spacing w:after="0"/>
              <w:rPr>
                <w:sz w:val="20"/>
                <w:szCs w:val="20"/>
                <w:color w:val="auto"/>
              </w:rPr>
            </w:pPr>
            <w:r>
              <w:rPr>
                <w:rFonts w:ascii="Times New Roman" w:cs="Times New Roman" w:eastAsia="Times New Roman" w:hAnsi="Times New Roman"/>
                <w:sz w:val="13"/>
                <w:szCs w:val="13"/>
                <w:color w:val="0000FF"/>
              </w:rPr>
              <w:t>2,520</w:t>
            </w:r>
          </w:p>
        </w:tc>
        <w:tc>
          <w:tcPr>
            <w:tcW w:w="720" w:type="dxa"/>
            <w:vAlign w:val="bottom"/>
          </w:tcPr>
          <w:p>
            <w:pPr>
              <w:ind w:left="320"/>
              <w:spacing w:after="0"/>
              <w:rPr>
                <w:sz w:val="20"/>
                <w:szCs w:val="20"/>
                <w:color w:val="auto"/>
              </w:rPr>
            </w:pPr>
            <w:r>
              <w:rPr>
                <w:rFonts w:ascii="Times New Roman" w:cs="Times New Roman" w:eastAsia="Times New Roman" w:hAnsi="Times New Roman"/>
                <w:sz w:val="9"/>
                <w:szCs w:val="9"/>
                <w:color w:val="008000"/>
              </w:rPr>
              <w:t>(2)</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40" w:type="dxa"/>
            <w:vAlign w:val="bottom"/>
            <w:tcBorders>
              <w:bottom w:val="single" w:sz="8" w:color="2C2C2C"/>
            </w:tcBorders>
          </w:tcPr>
          <w:p>
            <w:pPr>
              <w:spacing w:after="0"/>
              <w:rPr>
                <w:sz w:val="3"/>
                <w:szCs w:val="3"/>
                <w:color w:val="auto"/>
              </w:rPr>
            </w:pPr>
          </w:p>
        </w:tc>
        <w:tc>
          <w:tcPr>
            <w:tcW w:w="3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2026</w:t>
            </w:r>
          </w:p>
        </w:tc>
        <w:tc>
          <w:tcPr>
            <w:tcW w:w="3340" w:type="dxa"/>
            <w:vAlign w:val="bottom"/>
          </w:tcPr>
          <w:p>
            <w:pPr>
              <w:spacing w:after="0"/>
              <w:rPr>
                <w:sz w:val="20"/>
                <w:szCs w:val="20"/>
                <w:color w:val="auto"/>
              </w:rPr>
            </w:pPr>
            <w:r>
              <w:rPr>
                <w:rFonts w:ascii="Times New Roman" w:cs="Times New Roman" w:eastAsia="Times New Roman" w:hAnsi="Times New Roman"/>
                <w:sz w:val="13"/>
                <w:szCs w:val="13"/>
                <w:color w:val="0000FF"/>
              </w:rPr>
              <w:t>Performance-Based Restricted Stock Units</w:t>
            </w:r>
          </w:p>
        </w:tc>
        <w:tc>
          <w:tcPr>
            <w:tcW w:w="680" w:type="dxa"/>
            <w:vAlign w:val="bottom"/>
          </w:tcPr>
          <w:p>
            <w:pPr>
              <w:ind w:left="300"/>
              <w:spacing w:after="0"/>
              <w:rPr>
                <w:sz w:val="20"/>
                <w:szCs w:val="20"/>
                <w:color w:val="auto"/>
              </w:rPr>
            </w:pPr>
            <w:r>
              <w:rPr>
                <w:rFonts w:ascii="Times New Roman" w:cs="Times New Roman" w:eastAsia="Times New Roman" w:hAnsi="Times New Roman"/>
                <w:sz w:val="9"/>
                <w:szCs w:val="9"/>
                <w:color w:val="008000"/>
              </w:rPr>
              <w:t>(3)</w:t>
            </w:r>
          </w:p>
        </w:tc>
        <w:tc>
          <w:tcPr>
            <w:tcW w:w="6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4"/>
              </w:rPr>
              <w:t>(3)</w:t>
            </w:r>
          </w:p>
        </w:tc>
        <w:tc>
          <w:tcPr>
            <w:tcW w:w="1820" w:type="dxa"/>
            <w:vAlign w:val="bottom"/>
          </w:tcPr>
          <w:p>
            <w:pPr>
              <w:ind w:left="640"/>
              <w:spacing w:after="0"/>
              <w:rPr>
                <w:sz w:val="20"/>
                <w:szCs w:val="20"/>
                <w:color w:val="auto"/>
              </w:rPr>
            </w:pPr>
            <w:r>
              <w:rPr>
                <w:rFonts w:ascii="Times New Roman" w:cs="Times New Roman" w:eastAsia="Times New Roman" w:hAnsi="Times New Roman"/>
                <w:sz w:val="13"/>
                <w:szCs w:val="13"/>
                <w:color w:val="0000FF"/>
              </w:rPr>
              <w:t>Common Stock</w:t>
            </w:r>
          </w:p>
        </w:tc>
        <w:tc>
          <w:tcPr>
            <w:tcW w:w="960" w:type="dxa"/>
            <w:vAlign w:val="bottom"/>
          </w:tcPr>
          <w:p>
            <w:pPr>
              <w:jc w:val="center"/>
              <w:ind w:left="242"/>
              <w:spacing w:after="0"/>
              <w:rPr>
                <w:sz w:val="20"/>
                <w:szCs w:val="20"/>
                <w:color w:val="auto"/>
              </w:rPr>
            </w:pPr>
            <w:r>
              <w:rPr>
                <w:rFonts w:ascii="Times New Roman" w:cs="Times New Roman" w:eastAsia="Times New Roman" w:hAnsi="Times New Roman"/>
                <w:sz w:val="13"/>
                <w:szCs w:val="13"/>
                <w:color w:val="0000FF"/>
              </w:rPr>
              <w:t>5,880</w:t>
            </w:r>
          </w:p>
        </w:tc>
        <w:tc>
          <w:tcPr>
            <w:tcW w:w="720" w:type="dxa"/>
            <w:vAlign w:val="bottom"/>
          </w:tcPr>
          <w:p>
            <w:pPr>
              <w:ind w:left="320"/>
              <w:spacing w:after="0"/>
              <w:rPr>
                <w:sz w:val="20"/>
                <w:szCs w:val="20"/>
                <w:color w:val="auto"/>
              </w:rPr>
            </w:pPr>
            <w:r>
              <w:rPr>
                <w:rFonts w:ascii="Times New Roman" w:cs="Times New Roman" w:eastAsia="Times New Roman" w:hAnsi="Times New Roman"/>
                <w:sz w:val="9"/>
                <w:szCs w:val="9"/>
                <w:color w:val="008000"/>
              </w:rPr>
              <w:t>(4)</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Represents 840 Restricted Stock Units ("RSUs") that will vest on February 25, 2027, 840 RSUs that will vest on February 25, 2028, and 840 RSUs that will vest on February 25, 2029, in each case subject to the reporting person's continued service.</w:t>
      </w:r>
    </w:p>
    <w:p>
      <w:pPr>
        <w:spacing w:after="0" w:line="40"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RSU was issued under the Talen Energy Corporation 2023 Equity Incentive Plan (the "Plan") and represents a contingent right to receive one share of common stock, par value $0.001 ("common stock"), of Talen Energy Corporation (the "Company") or its cash equivalent, as determined at the time of settlement by the Compensation Committee of the Company's Board of Directors (the "Committee") pursuant to the terms of the Plan.</w:t>
      </w:r>
    </w:p>
    <w:p>
      <w:pPr>
        <w:spacing w:after="0" w:line="3" w:lineRule="exact"/>
        <w:rPr>
          <w:rFonts w:ascii="Times New Roman" w:cs="Times New Roman" w:eastAsia="Times New Roman" w:hAnsi="Times New Roman"/>
          <w:sz w:val="10"/>
          <w:szCs w:val="10"/>
          <w:color w:val="008000"/>
        </w:rPr>
      </w:pPr>
    </w:p>
    <w:p>
      <w:pPr>
        <w:ind w:left="40" w:right="60" w:hanging="6"/>
        <w:spacing w:after="0" w:line="25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Represents Performance-Based Restricted Stock Units ("PSUs") that will vest subject to the reporting person's (i) continued service and (ii) achievement of applicable performance goals on February 25, 2029. The number of PSUs that vest can range from 0% to 200% of the target number of PSUs subject to the award, plus, if the maximum performance level is exceeded, an additional number of PSUs in an amount equal to the reporting person's proportionate share among the participating executive officers of 3% of the Company's market capitalization above the maximum performance level. The number of PSUs and shares of common stock in this row represent the maximum level of performance (or 200%).</w:t>
      </w:r>
    </w:p>
    <w:p>
      <w:pPr>
        <w:spacing w:after="0" w:line="12"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PSU was issued under the Plan and represents a contingent right to receive one share of common stock or its cash equivalent, as determined at the time of settlement by the Committee pursuant to the terms of the Plan.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Ex. 24.1 - Power of Attorney</w:t>
      </w:r>
    </w:p>
    <w:p>
      <w:pPr>
        <w:spacing w:after="0" w:line="57"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Daniel J. Kelly</w:t>
            </w:r>
          </w:p>
        </w:tc>
        <w:tc>
          <w:tcPr>
            <w:tcW w:w="9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rPr>
              <w:t>05/28/2026</w:t>
            </w:r>
          </w:p>
        </w:tc>
      </w:tr>
      <w:tr>
        <w:trPr>
          <w:trHeight w:val="20"/>
        </w:trPr>
        <w:tc>
          <w:tcPr>
            <w:tcW w:w="65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178"/>
        </w:trPr>
        <w:tc>
          <w:tcPr>
            <w:tcW w:w="6580" w:type="dxa"/>
            <w:vAlign w:val="bottom"/>
          </w:tcPr>
          <w:p>
            <w:pPr>
              <w:spacing w:after="0"/>
              <w:rPr>
                <w:sz w:val="15"/>
                <w:szCs w:val="15"/>
                <w:color w:val="auto"/>
              </w:rPr>
            </w:pPr>
          </w:p>
        </w:tc>
        <w:tc>
          <w:tcPr>
            <w:tcW w:w="184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980" w:type="dxa"/>
            <w:vAlign w:val="bottom"/>
            <w:gridSpan w:val="2"/>
          </w:tcPr>
          <w:p>
            <w:pPr>
              <w:ind w:left="360"/>
              <w:spacing w:after="0"/>
              <w:rPr>
                <w:sz w:val="20"/>
                <w:szCs w:val="20"/>
                <w:color w:val="auto"/>
              </w:rPr>
            </w:pPr>
            <w:r>
              <w:rPr>
                <w:rFonts w:ascii="Arial" w:cs="Arial" w:eastAsia="Arial" w:hAnsi="Arial"/>
                <w:sz w:val="10"/>
                <w:szCs w:val="10"/>
                <w:color w:val="auto"/>
              </w:rPr>
              <w:t>Date</w:t>
            </w: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42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2135080" TargetMode="External"/><Relationship Id="rId12" Type="http://schemas.openxmlformats.org/officeDocument/2006/relationships/hyperlink" Target="http://www.sec.gov/cgi-bin/browse-edgar?action=getcompany&amp;CIK=00016225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2026-05-28T17:05:29Z</dcterms:created>
  <dcterms:modified xsi:type="dcterms:W3CDTF">2026-05-28T17:05:29Z</dcterms:modified>
</cp:coreProperties>
</file>