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198755</wp:posOffset>
            </wp:positionV>
            <wp:extent cx="16859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5925" cy="571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144145</wp:posOffset>
            </wp:positionV>
            <wp:extent cx="16916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CURRENT REPORT</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 xml:space="preserve">Date of Report (date of earliest event reported): </w:t>
      </w:r>
      <w:r>
        <w:rPr>
          <w:rFonts w:ascii="Arial" w:cs="Arial" w:eastAsia="Arial" w:hAnsi="Arial"/>
          <w:sz w:val="11"/>
          <w:szCs w:val="11"/>
          <w:b w:val="1"/>
          <w:bCs w:val="1"/>
          <w:color w:val="auto"/>
        </w:rPr>
        <w:t>January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199390</wp:posOffset>
            </wp:positionV>
            <wp:extent cx="1691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Talen Energy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153035</wp:posOffset>
            </wp:positionV>
            <wp:extent cx="1691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150"/>
        </w:trPr>
        <w:tc>
          <w:tcPr>
            <w:tcW w:w="3160" w:type="dxa"/>
            <w:vAlign w:val="bottom"/>
            <w:tcBorders>
              <w:bottom w:val="single" w:sz="8" w:color="auto"/>
            </w:tcBorders>
          </w:tcPr>
          <w:p>
            <w:pPr>
              <w:jc w:val="center"/>
              <w:ind w:left="1026"/>
              <w:spacing w:after="0"/>
              <w:rPr>
                <w:sz w:val="20"/>
                <w:szCs w:val="20"/>
                <w:color w:val="auto"/>
              </w:rPr>
            </w:pPr>
            <w:r>
              <w:rPr>
                <w:rFonts w:ascii="Arial" w:cs="Arial" w:eastAsia="Arial" w:hAnsi="Arial"/>
                <w:sz w:val="11"/>
                <w:szCs w:val="11"/>
                <w:b w:val="1"/>
                <w:bCs w:val="1"/>
                <w:color w:val="auto"/>
                <w:w w:val="99"/>
              </w:rPr>
              <w:t>Delaware</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001-37388</w:t>
            </w: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jc w:val="center"/>
              <w:ind w:right="1186"/>
              <w:spacing w:after="0"/>
              <w:rPr>
                <w:sz w:val="20"/>
                <w:szCs w:val="20"/>
                <w:color w:val="auto"/>
              </w:rPr>
            </w:pPr>
            <w:r>
              <w:rPr>
                <w:rFonts w:ascii="Arial" w:cs="Arial" w:eastAsia="Arial" w:hAnsi="Arial"/>
                <w:sz w:val="11"/>
                <w:szCs w:val="11"/>
                <w:b w:val="1"/>
                <w:bCs w:val="1"/>
                <w:color w:val="auto"/>
                <w:w w:val="95"/>
              </w:rPr>
              <w:t>47-1197305</w:t>
            </w:r>
          </w:p>
        </w:tc>
      </w:tr>
      <w:tr>
        <w:trPr>
          <w:trHeight w:val="136"/>
        </w:trPr>
        <w:tc>
          <w:tcPr>
            <w:tcW w:w="3160" w:type="dxa"/>
            <w:vAlign w:val="bottom"/>
          </w:tcPr>
          <w:p>
            <w:pPr>
              <w:jc w:val="center"/>
              <w:ind w:left="1026"/>
              <w:spacing w:after="0"/>
              <w:rPr>
                <w:sz w:val="20"/>
                <w:szCs w:val="20"/>
                <w:color w:val="auto"/>
              </w:rPr>
            </w:pPr>
            <w:r>
              <w:rPr>
                <w:rFonts w:ascii="Arial" w:cs="Arial" w:eastAsia="Arial" w:hAnsi="Arial"/>
                <w:sz w:val="11"/>
                <w:szCs w:val="11"/>
                <w:color w:val="auto"/>
                <w:w w:val="98"/>
              </w:rPr>
              <w:t>(State or other jurisdiction of</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gridSpan w:val="3"/>
          </w:tcPr>
          <w:p>
            <w:pPr>
              <w:jc w:val="center"/>
              <w:ind w:right="1360"/>
              <w:spacing w:after="0"/>
              <w:rPr>
                <w:sz w:val="20"/>
                <w:szCs w:val="20"/>
                <w:color w:val="auto"/>
              </w:rPr>
            </w:pPr>
            <w:r>
              <w:rPr>
                <w:rFonts w:ascii="Arial" w:cs="Arial" w:eastAsia="Arial" w:hAnsi="Arial"/>
                <w:sz w:val="11"/>
                <w:szCs w:val="11"/>
                <w:color w:val="auto"/>
                <w:w w:val="97"/>
              </w:rPr>
              <w:t>(Commission File Number)</w:t>
            </w:r>
          </w:p>
        </w:tc>
        <w:tc>
          <w:tcPr>
            <w:tcW w:w="3000" w:type="dxa"/>
            <w:vAlign w:val="bottom"/>
          </w:tcPr>
          <w:p>
            <w:pPr>
              <w:jc w:val="center"/>
              <w:ind w:right="1186"/>
              <w:spacing w:after="0"/>
              <w:rPr>
                <w:sz w:val="20"/>
                <w:szCs w:val="20"/>
                <w:color w:val="auto"/>
              </w:rPr>
            </w:pPr>
            <w:r>
              <w:rPr>
                <w:rFonts w:ascii="Arial" w:cs="Arial" w:eastAsia="Arial" w:hAnsi="Arial"/>
                <w:sz w:val="11"/>
                <w:szCs w:val="11"/>
                <w:color w:val="auto"/>
              </w:rPr>
              <w:t>(IRS Employer</w:t>
            </w:r>
          </w:p>
        </w:tc>
      </w:tr>
      <w:tr>
        <w:trPr>
          <w:trHeight w:val="142"/>
        </w:trPr>
        <w:tc>
          <w:tcPr>
            <w:tcW w:w="3160" w:type="dxa"/>
            <w:vAlign w:val="bottom"/>
          </w:tcPr>
          <w:p>
            <w:pPr>
              <w:jc w:val="center"/>
              <w:ind w:left="1026"/>
              <w:spacing w:after="0"/>
              <w:rPr>
                <w:sz w:val="20"/>
                <w:szCs w:val="20"/>
                <w:color w:val="auto"/>
              </w:rPr>
            </w:pPr>
            <w:r>
              <w:rPr>
                <w:rFonts w:ascii="Arial" w:cs="Arial" w:eastAsia="Arial" w:hAnsi="Arial"/>
                <w:sz w:val="11"/>
                <w:szCs w:val="11"/>
                <w:color w:val="auto"/>
                <w:w w:val="97"/>
              </w:rPr>
              <w:t>incorporation or organization)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jc w:val="center"/>
              <w:ind w:right="1186"/>
              <w:spacing w:after="0"/>
              <w:rPr>
                <w:sz w:val="20"/>
                <w:szCs w:val="20"/>
                <w:color w:val="auto"/>
              </w:rPr>
            </w:pPr>
            <w:r>
              <w:rPr>
                <w:rFonts w:ascii="Arial" w:cs="Arial" w:eastAsia="Arial" w:hAnsi="Arial"/>
                <w:sz w:val="11"/>
                <w:szCs w:val="11"/>
                <w:color w:val="auto"/>
                <w:w w:val="98"/>
              </w:rPr>
              <w:t>Identification No.)</w:t>
            </w:r>
          </w:p>
        </w:tc>
      </w:tr>
      <w:tr>
        <w:trPr>
          <w:trHeight w:val="407"/>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w w:val="97"/>
              </w:rPr>
              <w:t>2929 Allen Pkwy, Suite 2200</w:t>
            </w:r>
          </w:p>
        </w:tc>
        <w:tc>
          <w:tcPr>
            <w:tcW w:w="3000" w:type="dxa"/>
            <w:vAlign w:val="bottom"/>
          </w:tcPr>
          <w:p>
            <w:pPr>
              <w:spacing w:after="0"/>
              <w:rPr>
                <w:sz w:val="24"/>
                <w:szCs w:val="24"/>
                <w:color w:val="auto"/>
              </w:rPr>
            </w:pPr>
          </w:p>
        </w:tc>
      </w:tr>
      <w:tr>
        <w:trPr>
          <w:trHeight w:val="135"/>
        </w:trPr>
        <w:tc>
          <w:tcPr>
            <w:tcW w:w="3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gridSpan w:val="3"/>
          </w:tcPr>
          <w:p>
            <w:pPr>
              <w:jc w:val="center"/>
              <w:ind w:right="1360"/>
              <w:spacing w:after="0"/>
              <w:rPr>
                <w:sz w:val="20"/>
                <w:szCs w:val="20"/>
                <w:color w:val="auto"/>
              </w:rPr>
            </w:pPr>
            <w:r>
              <w:rPr>
                <w:rFonts w:ascii="Arial" w:cs="Arial" w:eastAsia="Arial" w:hAnsi="Arial"/>
                <w:sz w:val="11"/>
                <w:szCs w:val="11"/>
                <w:b w:val="1"/>
                <w:bCs w:val="1"/>
                <w:color w:val="auto"/>
                <w:w w:val="97"/>
              </w:rPr>
              <w:t>Houston, TX 77019</w:t>
            </w:r>
          </w:p>
        </w:tc>
        <w:tc>
          <w:tcPr>
            <w:tcW w:w="3000" w:type="dxa"/>
            <w:vAlign w:val="bottom"/>
          </w:tcPr>
          <w:p>
            <w:pPr>
              <w:spacing w:after="0"/>
              <w:rPr>
                <w:sz w:val="11"/>
                <w:szCs w:val="11"/>
                <w:color w:val="auto"/>
              </w:rPr>
            </w:pPr>
          </w:p>
        </w:tc>
      </w:tr>
      <w:tr>
        <w:trPr>
          <w:trHeight w:val="142"/>
        </w:trPr>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40" w:type="dxa"/>
            <w:vAlign w:val="bottom"/>
            <w:gridSpan w:val="4"/>
          </w:tcPr>
          <w:p>
            <w:pPr>
              <w:jc w:val="center"/>
              <w:ind w:right="1220"/>
              <w:spacing w:after="0"/>
              <w:rPr>
                <w:sz w:val="20"/>
                <w:szCs w:val="20"/>
                <w:color w:val="auto"/>
              </w:rPr>
            </w:pPr>
            <w:r>
              <w:rPr>
                <w:rFonts w:ascii="Arial" w:cs="Arial" w:eastAsia="Arial" w:hAnsi="Arial"/>
                <w:sz w:val="11"/>
                <w:szCs w:val="11"/>
                <w:color w:val="auto"/>
                <w:w w:val="97"/>
              </w:rPr>
              <w:t>(Address of principal executive offices) (Zip Code)</w:t>
            </w:r>
          </w:p>
        </w:tc>
        <w:tc>
          <w:tcPr>
            <w:tcW w:w="3000" w:type="dxa"/>
            <w:vAlign w:val="bottom"/>
          </w:tcPr>
          <w:p>
            <w:pPr>
              <w:spacing w:after="0"/>
              <w:rPr>
                <w:sz w:val="12"/>
                <w:szCs w:val="12"/>
                <w:color w:val="auto"/>
              </w:rPr>
            </w:pPr>
          </w:p>
        </w:tc>
      </w:tr>
      <w:tr>
        <w:trPr>
          <w:trHeight w:val="218"/>
        </w:trPr>
        <w:tc>
          <w:tcPr>
            <w:tcW w:w="3160" w:type="dxa"/>
            <w:vAlign w:val="bottom"/>
          </w:tcPr>
          <w:p>
            <w:pPr>
              <w:spacing w:after="0"/>
              <w:rPr>
                <w:sz w:val="18"/>
                <w:szCs w:val="18"/>
                <w:color w:val="auto"/>
              </w:rPr>
            </w:pPr>
          </w:p>
        </w:tc>
        <w:tc>
          <w:tcPr>
            <w:tcW w:w="3360" w:type="dxa"/>
            <w:vAlign w:val="bottom"/>
            <w:gridSpan w:val="3"/>
          </w:tcPr>
          <w:p>
            <w:pPr>
              <w:jc w:val="center"/>
              <w:ind w:left="1146"/>
              <w:spacing w:after="0"/>
              <w:rPr>
                <w:sz w:val="20"/>
                <w:szCs w:val="20"/>
                <w:color w:val="auto"/>
              </w:rPr>
            </w:pPr>
            <w:r>
              <w:rPr>
                <w:rFonts w:ascii="Arial" w:cs="Arial" w:eastAsia="Arial" w:hAnsi="Arial"/>
                <w:sz w:val="11"/>
                <w:szCs w:val="11"/>
                <w:b w:val="1"/>
                <w:bCs w:val="1"/>
                <w:color w:val="auto"/>
                <w:w w:val="95"/>
              </w:rPr>
              <w:t>(888) 211-6011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42"/>
        </w:trPr>
        <w:tc>
          <w:tcPr>
            <w:tcW w:w="3160" w:type="dxa"/>
            <w:vAlign w:val="bottom"/>
          </w:tcPr>
          <w:p>
            <w:pPr>
              <w:spacing w:after="0"/>
              <w:rPr>
                <w:sz w:val="12"/>
                <w:szCs w:val="12"/>
                <w:color w:val="auto"/>
              </w:rPr>
            </w:pPr>
          </w:p>
        </w:tc>
        <w:tc>
          <w:tcPr>
            <w:tcW w:w="4720" w:type="dxa"/>
            <w:vAlign w:val="bottom"/>
            <w:gridSpan w:val="5"/>
          </w:tcPr>
          <w:p>
            <w:pPr>
              <w:jc w:val="center"/>
              <w:ind w:right="160"/>
              <w:spacing w:after="0"/>
              <w:rPr>
                <w:sz w:val="20"/>
                <w:szCs w:val="20"/>
                <w:color w:val="auto"/>
              </w:rPr>
            </w:pPr>
            <w:r>
              <w:rPr>
                <w:rFonts w:ascii="Arial" w:cs="Arial" w:eastAsia="Arial" w:hAnsi="Arial"/>
                <w:sz w:val="11"/>
                <w:szCs w:val="11"/>
                <w:color w:val="auto"/>
                <w:w w:val="97"/>
              </w:rPr>
              <w:t>(Registrant’s telephone number, including area code)</w:t>
            </w:r>
          </w:p>
        </w:tc>
        <w:tc>
          <w:tcPr>
            <w:tcW w:w="3000" w:type="dxa"/>
            <w:vAlign w:val="bottom"/>
          </w:tcPr>
          <w:p>
            <w:pPr>
              <w:spacing w:after="0"/>
              <w:rPr>
                <w:sz w:val="12"/>
                <w:szCs w:val="12"/>
                <w:color w:val="auto"/>
              </w:rPr>
            </w:pPr>
          </w:p>
        </w:tc>
      </w:tr>
      <w:tr>
        <w:trPr>
          <w:trHeight w:val="227"/>
        </w:trPr>
        <w:tc>
          <w:tcPr>
            <w:tcW w:w="3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w w:val="98"/>
              </w:rPr>
              <w:t>Not applicable</w:t>
            </w:r>
          </w:p>
        </w:tc>
        <w:tc>
          <w:tcPr>
            <w:tcW w:w="3000" w:type="dxa"/>
            <w:vAlign w:val="bottom"/>
          </w:tcPr>
          <w:p>
            <w:pPr>
              <w:spacing w:after="0"/>
              <w:rPr>
                <w:sz w:val="19"/>
                <w:szCs w:val="19"/>
                <w:color w:val="auto"/>
              </w:rPr>
            </w:pPr>
          </w:p>
        </w:tc>
      </w:tr>
      <w:tr>
        <w:trPr>
          <w:trHeight w:val="142"/>
        </w:trPr>
        <w:tc>
          <w:tcPr>
            <w:tcW w:w="3160" w:type="dxa"/>
            <w:vAlign w:val="bottom"/>
          </w:tcPr>
          <w:p>
            <w:pPr>
              <w:spacing w:after="0"/>
              <w:rPr>
                <w:sz w:val="12"/>
                <w:szCs w:val="12"/>
                <w:color w:val="auto"/>
              </w:rPr>
            </w:pPr>
          </w:p>
        </w:tc>
        <w:tc>
          <w:tcPr>
            <w:tcW w:w="4720" w:type="dxa"/>
            <w:vAlign w:val="bottom"/>
            <w:gridSpan w:val="5"/>
          </w:tcPr>
          <w:p>
            <w:pPr>
              <w:jc w:val="center"/>
              <w:ind w:right="160"/>
              <w:spacing w:after="0"/>
              <w:rPr>
                <w:sz w:val="20"/>
                <w:szCs w:val="20"/>
                <w:color w:val="auto"/>
              </w:rPr>
            </w:pPr>
            <w:r>
              <w:rPr>
                <w:rFonts w:ascii="Arial" w:cs="Arial" w:eastAsia="Arial" w:hAnsi="Arial"/>
                <w:sz w:val="11"/>
                <w:szCs w:val="11"/>
                <w:color w:val="auto"/>
                <w:w w:val="98"/>
              </w:rPr>
              <w:t>(Former name, former address and former fiscal year, if changed since last report)</w:t>
            </w:r>
          </w:p>
        </w:tc>
        <w:tc>
          <w:tcPr>
            <w:tcW w:w="30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172720</wp:posOffset>
            </wp:positionV>
            <wp:extent cx="1691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360" w:hanging="34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3720" w:type="dxa"/>
            <w:vAlign w:val="bottom"/>
            <w:gridSpan w:val="5"/>
          </w:tcPr>
          <w:p>
            <w:pPr>
              <w:jc w:val="center"/>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restart"/>
          </w:tcPr>
          <w:p>
            <w:pPr>
              <w:ind w:left="1720"/>
              <w:spacing w:after="0"/>
              <w:rPr>
                <w:sz w:val="20"/>
                <w:szCs w:val="20"/>
                <w:color w:val="auto"/>
              </w:rPr>
            </w:pPr>
            <w:r>
              <w:rPr>
                <w:rFonts w:ascii="Arial" w:cs="Arial" w:eastAsia="Arial" w:hAnsi="Arial"/>
                <w:sz w:val="11"/>
                <w:szCs w:val="11"/>
                <w:b w:val="1"/>
                <w:bCs w:val="1"/>
                <w:color w:val="auto"/>
              </w:rPr>
              <w:t>Title of each class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99"/>
              </w:rPr>
              <w:t>Trading Symbol(s)</w:t>
            </w:r>
          </w:p>
        </w:tc>
        <w:tc>
          <w:tcPr>
            <w:tcW w:w="3620" w:type="dxa"/>
            <w:vAlign w:val="bottom"/>
          </w:tcPr>
          <w:p>
            <w:pPr>
              <w:jc w:val="center"/>
              <w:ind w:right="566"/>
              <w:spacing w:after="0"/>
              <w:rPr>
                <w:sz w:val="20"/>
                <w:szCs w:val="20"/>
                <w:color w:val="auto"/>
              </w:rPr>
            </w:pPr>
            <w:r>
              <w:rPr>
                <w:rFonts w:ascii="Arial" w:cs="Arial" w:eastAsia="Arial" w:hAnsi="Arial"/>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10"/>
        </w:trPr>
        <w:tc>
          <w:tcPr>
            <w:tcW w:w="358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580" w:type="dxa"/>
            <w:vAlign w:val="bottom"/>
          </w:tcPr>
          <w:p>
            <w:pPr>
              <w:ind w:left="1120"/>
              <w:spacing w:after="0"/>
              <w:rPr>
                <w:sz w:val="20"/>
                <w:szCs w:val="20"/>
                <w:color w:val="auto"/>
              </w:rPr>
            </w:pPr>
            <w:r>
              <w:rPr>
                <w:rFonts w:ascii="Arial" w:cs="Arial" w:eastAsia="Arial" w:hAnsi="Arial"/>
                <w:sz w:val="11"/>
                <w:szCs w:val="11"/>
                <w:color w:val="auto"/>
              </w:rPr>
              <w:t>Common stock, par value $0.001 per share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3"/>
          </w:tcPr>
          <w:p>
            <w:pPr>
              <w:jc w:val="center"/>
              <w:ind w:right="760"/>
              <w:spacing w:after="0"/>
              <w:rPr>
                <w:sz w:val="20"/>
                <w:szCs w:val="20"/>
                <w:color w:val="auto"/>
              </w:rPr>
            </w:pPr>
            <w:r>
              <w:rPr>
                <w:rFonts w:ascii="Arial" w:cs="Arial" w:eastAsia="Arial" w:hAnsi="Arial"/>
                <w:sz w:val="11"/>
                <w:szCs w:val="11"/>
                <w:color w:val="auto"/>
                <w:w w:val="96"/>
              </w:rPr>
              <w:t>TLN</w:t>
            </w:r>
          </w:p>
        </w:tc>
        <w:tc>
          <w:tcPr>
            <w:tcW w:w="3620" w:type="dxa"/>
            <w:vAlign w:val="bottom"/>
          </w:tcPr>
          <w:p>
            <w:pPr>
              <w:jc w:val="center"/>
              <w:ind w:right="586"/>
              <w:spacing w:after="0"/>
              <w:rPr>
                <w:sz w:val="20"/>
                <w:szCs w:val="20"/>
                <w:color w:val="auto"/>
              </w:rPr>
            </w:pPr>
            <w:r>
              <w:rPr>
                <w:rFonts w:ascii="Arial" w:cs="Arial" w:eastAsia="Arial" w:hAnsi="Arial"/>
                <w:sz w:val="11"/>
                <w:szCs w:val="11"/>
                <w:color w:val="auto"/>
                <w:w w:val="98"/>
              </w:rPr>
              <w:t>The Nasdaq Global Select Market</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right="260"/>
        <w:spacing w:after="0" w:line="144"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(17 CFR§230.405) or Rule 12b-2 of the Securities Exchange Act of 1934 (17 CFR §240.12b-2). Emerging growth company </w:t>
      </w:r>
      <w:r>
        <w:rPr>
          <w:rFonts w:ascii="MS PGothic" w:cs="MS PGothic" w:eastAsia="MS PGothic" w:hAnsi="MS PGothic"/>
          <w:sz w:val="9"/>
          <w:szCs w:val="9"/>
          <w:color w:val="auto"/>
        </w:rPr>
        <w:t>☐</w:t>
      </w:r>
    </w:p>
    <w:p>
      <w:pPr>
        <w:spacing w:after="0" w:line="82" w:lineRule="exact"/>
        <w:rPr>
          <w:sz w:val="24"/>
          <w:szCs w:val="24"/>
          <w:color w:val="auto"/>
        </w:rPr>
      </w:pPr>
    </w:p>
    <w:p>
      <w:pPr>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501650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400" w:top="954" w:right="419" w:bottom="1440" w:gutter="0" w:footer="0" w:header="0"/>
        </w:sectPr>
      </w:pPr>
    </w:p>
    <w:bookmarkStart w:id="1" w:name="page2"/>
    <w:bookmarkEnd w:id="1"/>
    <w:p>
      <w:pPr>
        <w:spacing w:after="0"/>
        <w:rPr>
          <w:sz w:val="20"/>
          <w:szCs w:val="20"/>
          <w:color w:val="auto"/>
        </w:rPr>
      </w:pPr>
      <w:r>
        <w:rPr>
          <w:rFonts w:ascii="Arial" w:cs="Arial" w:eastAsia="Arial" w:hAnsi="Arial"/>
          <w:sz w:val="11"/>
          <w:szCs w:val="11"/>
          <w:b w:val="1"/>
          <w:bCs w:val="1"/>
          <w:color w:val="auto"/>
        </w:rPr>
        <w:t>Item 1.01. Entry Into a Material Definitive Agreement.</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Merger Agreement</w:t>
      </w:r>
    </w:p>
    <w:p>
      <w:pPr>
        <w:spacing w:after="0" w:line="171" w:lineRule="exact"/>
        <w:rPr>
          <w:sz w:val="20"/>
          <w:szCs w:val="20"/>
          <w:color w:val="auto"/>
        </w:rPr>
      </w:pPr>
    </w:p>
    <w:p>
      <w:pPr>
        <w:ind w:right="40"/>
        <w:spacing w:after="0" w:line="250" w:lineRule="auto"/>
        <w:rPr>
          <w:sz w:val="20"/>
          <w:szCs w:val="20"/>
          <w:color w:val="auto"/>
        </w:rPr>
      </w:pPr>
      <w:r>
        <w:rPr>
          <w:rFonts w:ascii="Arial" w:cs="Arial" w:eastAsia="Arial" w:hAnsi="Arial"/>
          <w:sz w:val="11"/>
          <w:szCs w:val="11"/>
          <w:color w:val="auto"/>
        </w:rPr>
        <w:t>On January 15, 2026, Talen Energy Corporation, a Delaware corporation (the “Company”), Buckeye CG Holdings, LLC, a Delaware limited liability company and an indirect wholly owned subsidiary of the Company (“Buyer”), and certain other indirect wholly owned subsidiaries of the Company, entered into an Agreement and Plan of Merger (the “Merger Agreement”) with Cornerstone Generation Holdings, LP, a Delaware limited partnership, ECP Cornerstone Generation Holdings GP, LLC, a Delaware limited liability company, ECP V-B (AG IP) Blocker Corp, a Delaware corporation, ECP V-C (AG IP) Blocker Corp, a Delaware corporation, ECP V-D (AG IP) Blocker Corp, a Delaware corporation (collectively, the “Acquired Companies”), ECP V-D, LP, a Delaware limited partnership, as the representative of the Acquired Company Equityholders (as defined in the Merger Agreement) (the “Holder Representative”), and solely for the limited purposes set forth therein, ECP GP V, LP, a Delaware limited partnership.</w:t>
      </w:r>
    </w:p>
    <w:p>
      <w:pPr>
        <w:spacing w:after="0" w:line="97" w:lineRule="exact"/>
        <w:rPr>
          <w:sz w:val="20"/>
          <w:szCs w:val="20"/>
          <w:color w:val="auto"/>
        </w:rPr>
      </w:pPr>
    </w:p>
    <w:p>
      <w:pPr>
        <w:spacing w:after="0" w:line="262" w:lineRule="auto"/>
        <w:rPr>
          <w:sz w:val="20"/>
          <w:szCs w:val="20"/>
          <w:color w:val="auto"/>
        </w:rPr>
      </w:pPr>
      <w:r>
        <w:rPr>
          <w:rFonts w:ascii="Arial" w:cs="Arial" w:eastAsia="Arial" w:hAnsi="Arial"/>
          <w:sz w:val="11"/>
          <w:szCs w:val="11"/>
          <w:color w:val="auto"/>
        </w:rPr>
        <w:t>The Merger Agreement provides for a series of transactions on the terms and subject to the conditions set forth therein (collectively, the “Acquisition”), as a result of which the Company will indirectly acquire all of the equity interests of the Acquired Companies, which in turn indirectly own a 480 megawatt (“MW”) combustion turbine facility located in Mount Sterling, Ohio, a 1,218 MW combined cycle gas turbine facility in Lawrenceburg, Indiana, and a 869 MW combined cycle gas turbine facility located in Waterford, Ohio.</w:t>
      </w:r>
    </w:p>
    <w:p>
      <w:pPr>
        <w:spacing w:after="0" w:line="81" w:lineRule="exact"/>
        <w:rPr>
          <w:sz w:val="20"/>
          <w:szCs w:val="20"/>
          <w:color w:val="auto"/>
        </w:rPr>
      </w:pPr>
    </w:p>
    <w:p>
      <w:pPr>
        <w:ind w:right="220"/>
        <w:spacing w:after="0" w:line="318" w:lineRule="auto"/>
        <w:rPr>
          <w:sz w:val="20"/>
          <w:szCs w:val="20"/>
          <w:color w:val="auto"/>
        </w:rPr>
      </w:pPr>
      <w:r>
        <w:rPr>
          <w:rFonts w:ascii="Arial" w:cs="Arial" w:eastAsia="Arial" w:hAnsi="Arial"/>
          <w:sz w:val="10"/>
          <w:szCs w:val="10"/>
          <w:color w:val="auto"/>
        </w:rPr>
        <w:t>Subject to the terms and conditions of the Merger Agreement, as consideration for the Acquisition, the purchase price for the Acquisition shall be $3.45 billion, comprised of (a) approximately $2.55 billion in cash, subject to customary adjustments for net working capital, cash, indebtedness, certain casualty losses and transaction expenses and (b) 2,400,000 shares of common stock, par value $0.001 per share, of the Company (the “Stock Consideration”).</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The obligations of the parties to consummate the Acquisition are subject to the satisfaction or waiver of customary closing conditions set forth in the Merger Agreement, including satisfaction of certain required regulatory approvals.</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1"/>
          <w:szCs w:val="11"/>
          <w:color w:val="auto"/>
        </w:rPr>
        <w:t>The Merger Agreement will be filed as an exhibit to a subsequent report of the Company with the U.S. Securities and Exchange Commission (the “SEC”) to provide investors and security holders with information regarding the terms of the transactions contemplated therein. It is not intended to provide any other factual information about the Company, Buyer, the Acquired Companies or the Holder Representative. The representations, warranties, covenants and agreements contained in the Merger Agreement, which are made only for purposes of the Merger Agreement and as of specific dates, are solely for the benefit of the parties to the Merger Agreement, may be subject to limitations agreed upon by the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and security holders. Company security holders should not rely on the representations, warranties, covenants and agreements or any descriptions thereof as characterizations of the actual state of facts or condition of the Company, Buyer, the Acquired Companies or the Holder Representative. Moreover, information concerning the subject matter of the representations and warranties may change after the date of the Merger Agreement, which subsequent information may or may not be fully reflected in the Company’s public disclosures.</w:t>
      </w:r>
    </w:p>
    <w:p>
      <w:pPr>
        <w:spacing w:after="0" w:line="98" w:lineRule="exact"/>
        <w:rPr>
          <w:sz w:val="20"/>
          <w:szCs w:val="20"/>
          <w:color w:val="auto"/>
        </w:rPr>
      </w:pPr>
    </w:p>
    <w:p>
      <w:pPr>
        <w:ind w:right="360"/>
        <w:spacing w:after="0" w:line="268" w:lineRule="auto"/>
        <w:rPr>
          <w:sz w:val="20"/>
          <w:szCs w:val="20"/>
          <w:color w:val="auto"/>
        </w:rPr>
      </w:pPr>
      <w:r>
        <w:rPr>
          <w:rFonts w:ascii="Arial" w:cs="Arial" w:eastAsia="Arial" w:hAnsi="Arial"/>
          <w:sz w:val="11"/>
          <w:szCs w:val="11"/>
          <w:color w:val="auto"/>
        </w:rPr>
        <w:t>The foregoing description of the Merger Agreement and the transactions contemplated thereby is not complete and is qualified in its entirety by reference to the full text of the Merger Agreement, which will be filed as an exhibit to a subsequent report of the Company with the SEC.</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Registration Rights Agreement</w:t>
      </w:r>
    </w:p>
    <w:p>
      <w:pPr>
        <w:spacing w:after="0" w:line="108" w:lineRule="exact"/>
        <w:rPr>
          <w:sz w:val="20"/>
          <w:szCs w:val="20"/>
          <w:color w:val="auto"/>
        </w:rPr>
      </w:pPr>
    </w:p>
    <w:p>
      <w:pPr>
        <w:ind w:right="140"/>
        <w:spacing w:after="0" w:line="262" w:lineRule="auto"/>
        <w:rPr>
          <w:sz w:val="20"/>
          <w:szCs w:val="20"/>
          <w:color w:val="auto"/>
        </w:rPr>
      </w:pPr>
      <w:r>
        <w:rPr>
          <w:rFonts w:ascii="Arial" w:cs="Arial" w:eastAsia="Arial" w:hAnsi="Arial"/>
          <w:sz w:val="11"/>
          <w:szCs w:val="11"/>
          <w:color w:val="auto"/>
        </w:rPr>
        <w:t>Under the Merger Agreement, the Company and the Acquired Company Equityholders agreed to enter into a registration rights agreement (the “Registration Rights Agreement”) at the closing of the Acquisition. Pursuant to the terms of the Registration Rights Agreement, the Company will agree to file with the SEC a registration statement to register under the Securities Act of 1933, as amended (the “Securities Act”), the resale of the Stock Consideration. The Registration Rights Agreement provides for certain additional underwritten demand rights and “piggy-back” registration rights, subject to certain customary limitations.</w:t>
      </w:r>
    </w:p>
    <w:p>
      <w:pPr>
        <w:spacing w:after="0" w:line="81" w:lineRule="exact"/>
        <w:rPr>
          <w:sz w:val="20"/>
          <w:szCs w:val="20"/>
          <w:color w:val="auto"/>
        </w:rPr>
      </w:pPr>
    </w:p>
    <w:p>
      <w:pPr>
        <w:ind w:right="100"/>
        <w:spacing w:after="0" w:line="262" w:lineRule="auto"/>
        <w:rPr>
          <w:sz w:val="20"/>
          <w:szCs w:val="20"/>
          <w:color w:val="auto"/>
        </w:rPr>
      </w:pPr>
      <w:r>
        <w:rPr>
          <w:rFonts w:ascii="Arial" w:cs="Arial" w:eastAsia="Arial" w:hAnsi="Arial"/>
          <w:sz w:val="11"/>
          <w:szCs w:val="11"/>
          <w:color w:val="auto"/>
        </w:rPr>
        <w:t>Additionally, the Acquired Company Equityholders will agree to a 90-day lock-up on 50% of the Stock Consideration and a 180-day lock-up on the remaining Stock Consideration. The Company will also agree to pay certain expenses of the Registration Rights Holders (as defined in the Registration Rights Agreement) incurred in connection with the exercise of their rights under the Registration Rights Agreement and indemnify the Acquired Company Equityholders for certain securities law matters in connection with any registration statement filed pursuant thereto.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1"/>
          <w:szCs w:val="11"/>
          <w:color w:val="auto"/>
        </w:rPr>
        <w:t>The foregoing description of the Registration Rights Agreement is not complete and is qualified in its entirety by reference to the full text of the form of Registration Rights Agreement attached as an exhibit to the Merger Agreement, which will be filed as an exhibit to a subsequent report of the Company with the SEC.</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3.02. Unregistered Sales of Equity Securities.</w:t>
      </w:r>
    </w:p>
    <w:p>
      <w:pPr>
        <w:spacing w:after="0" w:line="108" w:lineRule="exact"/>
        <w:rPr>
          <w:sz w:val="20"/>
          <w:szCs w:val="20"/>
          <w:color w:val="auto"/>
        </w:rPr>
      </w:pPr>
    </w:p>
    <w:p>
      <w:pPr>
        <w:ind w:right="340"/>
        <w:spacing w:after="0" w:line="285" w:lineRule="auto"/>
        <w:rPr>
          <w:sz w:val="20"/>
          <w:szCs w:val="20"/>
          <w:color w:val="auto"/>
        </w:rPr>
      </w:pPr>
      <w:r>
        <w:rPr>
          <w:rFonts w:ascii="Arial" w:cs="Arial" w:eastAsia="Arial" w:hAnsi="Arial"/>
          <w:sz w:val="11"/>
          <w:szCs w:val="11"/>
          <w:color w:val="auto"/>
        </w:rPr>
        <w:t>The information set forth in Item 1.01 of this Current Report on Form 8-K (this “Report”) regarding the Stock Consideration is hereby incorporated by reference into this Item 3.02. Any issuance of common stock will be completed in reliance upon the exemption from the registration requirements of the Securities Act, provided by Section 4(a)(2) thereof as a transaction by an issuer not involving any public offering.</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7.01. Regulation FD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On January 15, 2026, the Company issued a press release announcing the Acquisition. A copy of the press release is furnished as Exhibit 99.1 to this Report and is incorporated herein by reference.</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1"/>
          <w:szCs w:val="11"/>
          <w:color w:val="auto"/>
        </w:rPr>
        <w:t>Also on January 15, 2026, as announced in the press release, the Company will be hosting an investor call beginning at 8:30 a.m. Eastern time to discuss the Acquisition. A copy of the investor call presentation is furnished as Exhibit 99.2 to this Report and is incorporated herein by reference. The investor call webcast and presentation will be available both live and for subsequent replay via the Events page of Talen’s investor relations website at https://ir.talenenergy.com. Information contained on or accessible from Talen’s website is not, and shall not be deemed to be, incorporated by reference into this Report.</w:t>
      </w:r>
    </w:p>
    <w:p>
      <w:pPr>
        <w:spacing w:after="0" w:line="81" w:lineRule="exact"/>
        <w:rPr>
          <w:sz w:val="20"/>
          <w:szCs w:val="20"/>
          <w:color w:val="auto"/>
        </w:rPr>
      </w:pPr>
    </w:p>
    <w:p>
      <w:pPr>
        <w:ind w:right="140"/>
        <w:spacing w:after="0" w:line="318" w:lineRule="auto"/>
        <w:rPr>
          <w:sz w:val="20"/>
          <w:szCs w:val="20"/>
          <w:color w:val="auto"/>
        </w:rPr>
      </w:pPr>
      <w:r>
        <w:rPr>
          <w:rFonts w:ascii="Arial" w:cs="Arial" w:eastAsia="Arial" w:hAnsi="Arial"/>
          <w:sz w:val="10"/>
          <w:szCs w:val="10"/>
          <w:color w:val="auto"/>
        </w:rPr>
        <w:t>The information provided under this Item 7.01 and in Exhibit 99.1 and Exhibit 99.2 to this Report is being furnished and shall not be deemed “filed” for the purpose of Section 18 of the Securities Exchange Act of 1934, as amended (the “Exchange Act”), or otherwise subject to the liabilities of that Section. Such information shall not be incorporated by reference into any registration statement or other document pursuant to the Securities Act or the Exchange Act.</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Forward-Looking Statements</w:t>
      </w:r>
    </w:p>
    <w:p>
      <w:pPr>
        <w:spacing w:after="0" w:line="108" w:lineRule="exact"/>
        <w:rPr>
          <w:sz w:val="20"/>
          <w:szCs w:val="20"/>
          <w:color w:val="auto"/>
        </w:rPr>
      </w:pPr>
    </w:p>
    <w:p>
      <w:pPr>
        <w:ind w:right="80"/>
        <w:spacing w:after="0" w:line="249" w:lineRule="auto"/>
        <w:rPr>
          <w:sz w:val="20"/>
          <w:szCs w:val="20"/>
          <w:color w:val="auto"/>
        </w:rPr>
      </w:pPr>
      <w:r>
        <w:rPr>
          <w:rFonts w:ascii="Arial" w:cs="Arial" w:eastAsia="Arial" w:hAnsi="Arial"/>
          <w:sz w:val="11"/>
          <w:szCs w:val="11"/>
          <w:color w:val="auto"/>
        </w:rPr>
        <w:t>This Report, including Exhibit 99.1 and Exhibit 99.2, may contain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Report,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the proposed Acquisition, including the financing, expected timing and completion (including required regulatory approvals), and anticipated impacts thereof, the integration of and anticipated benefits from the recent Freedom and Guernsey acquisitions, capital expenditures, earnings, litigation, regulatory matters, hedging, liquidity and capital resources and accounting matters.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97" w:lineRule="exact"/>
        <w:rPr>
          <w:sz w:val="20"/>
          <w:szCs w:val="20"/>
          <w:color w:val="auto"/>
        </w:rPr>
      </w:pPr>
    </w:p>
    <w:p>
      <w:pPr>
        <w:ind w:right="20"/>
        <w:spacing w:after="0" w:line="250" w:lineRule="auto"/>
        <w:rPr>
          <w:sz w:val="20"/>
          <w:szCs w:val="20"/>
          <w:color w:val="auto"/>
        </w:rPr>
      </w:pPr>
      <w:r>
        <w:rPr>
          <w:rFonts w:ascii="Arial" w:cs="Arial" w:eastAsia="Arial" w:hAnsi="Arial"/>
          <w:sz w:val="11"/>
          <w:szCs w:val="11"/>
          <w:color w:val="auto"/>
        </w:rPr>
        <w:t>Forward-looking statements are neither historical facts nor assurance of future performance. Instead, the statements are based on current beliefs, expectations and assumptions regarding the future of the Company’s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The Company undertakes no obligation, other than as required by law,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112395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11"/>
          <w:szCs w:val="11"/>
          <w:color w:val="auto"/>
        </w:rPr>
        <w:t>A discussion of certain risks and uncertainties affecting the Company, and some of the factors that could cause the Company’s actual results to differ materially from those described in the forward-looking statements, can be found in the sections entitled “Risk Factors” and “Management’s Discussion and Analysis of Financial Condition and Results of Operations” in the Company’s Annual Report on Form 10-K for the year ended December 31, 2024, Quarterly Reports on Form 10-Q for the quarters ended March 31, 2025 and June 30, 2025, and other current and periodic reports, which have been, or will be, filed with the SEC and are, or will be, available in the Investor Relations section of the Company’s website (www.talenenergy.com) and on the SEC’s website (www.sec.gov). Information contained on or accessible from the Company’s website is not, and shall not be deemed to be, incorporated by reference into this Report or any other filings with the SEC.</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40" w:type="dxa"/>
            <w:vAlign w:val="bottom"/>
          </w:tcPr>
          <w:p>
            <w:pPr>
              <w:spacing w:after="0"/>
              <w:rPr>
                <w:sz w:val="20"/>
                <w:szCs w:val="20"/>
                <w:color w:val="auto"/>
              </w:rPr>
            </w:pPr>
            <w:r>
              <w:rPr>
                <w:rFonts w:ascii="Arial" w:cs="Arial" w:eastAsia="Arial" w:hAnsi="Arial"/>
                <w:sz w:val="11"/>
                <w:szCs w:val="11"/>
                <w:color w:val="auto"/>
              </w:rPr>
              <w:t>(d) Exhibits:</w:t>
            </w:r>
          </w:p>
        </w:tc>
        <w:tc>
          <w:tcPr>
            <w:tcW w:w="1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276"/>
        </w:trPr>
        <w:tc>
          <w:tcPr>
            <w:tcW w:w="2040" w:type="dxa"/>
            <w:vAlign w:val="bottom"/>
          </w:tcPr>
          <w:p>
            <w:pPr>
              <w:spacing w:after="0"/>
              <w:rPr>
                <w:sz w:val="20"/>
                <w:szCs w:val="20"/>
                <w:color w:val="auto"/>
              </w:rPr>
            </w:pPr>
            <w:r>
              <w:rPr>
                <w:rFonts w:ascii="Arial" w:cs="Arial" w:eastAsia="Arial" w:hAnsi="Arial"/>
                <w:sz w:val="11"/>
                <w:szCs w:val="11"/>
                <w:b w:val="1"/>
                <w:bCs w:val="1"/>
                <w:color w:val="auto"/>
              </w:rPr>
              <w:t>Exhibit No.</w:t>
            </w:r>
          </w:p>
        </w:tc>
        <w:tc>
          <w:tcPr>
            <w:tcW w:w="4920" w:type="dxa"/>
            <w:vAlign w:val="bottom"/>
            <w:gridSpan w:val="3"/>
          </w:tcPr>
          <w:p>
            <w:pPr>
              <w:spacing w:after="0"/>
              <w:rPr>
                <w:sz w:val="20"/>
                <w:szCs w:val="20"/>
                <w:color w:val="auto"/>
              </w:rPr>
            </w:pPr>
            <w:r>
              <w:rPr>
                <w:rFonts w:ascii="Arial" w:cs="Arial" w:eastAsia="Arial" w:hAnsi="Arial"/>
                <w:sz w:val="11"/>
                <w:szCs w:val="11"/>
                <w:b w:val="1"/>
                <w:bCs w:val="1"/>
                <w:color w:val="auto"/>
              </w:rPr>
              <w:t>Description.</w:t>
            </w:r>
          </w:p>
        </w:tc>
      </w:tr>
      <w:tr>
        <w:trPr>
          <w:trHeight w:val="122"/>
        </w:trPr>
        <w:tc>
          <w:tcPr>
            <w:tcW w:w="2040" w:type="dxa"/>
            <w:vAlign w:val="bottom"/>
          </w:tcPr>
          <w:p>
            <w:pPr>
              <w:spacing w:after="0" w:line="122" w:lineRule="exact"/>
              <w:rPr>
                <w:sz w:val="20"/>
                <w:szCs w:val="20"/>
                <w:color w:val="auto"/>
              </w:rPr>
            </w:pPr>
            <w:r>
              <w:rPr>
                <w:rFonts w:ascii="Arial" w:cs="Arial" w:eastAsia="Arial" w:hAnsi="Arial"/>
                <w:sz w:val="11"/>
                <w:szCs w:val="11"/>
                <w:color w:val="auto"/>
              </w:rPr>
              <w:t>99.1</w:t>
            </w:r>
          </w:p>
        </w:tc>
        <w:tc>
          <w:tcPr>
            <w:tcW w:w="4920" w:type="dxa"/>
            <w:vAlign w:val="bottom"/>
            <w:gridSpan w:val="3"/>
          </w:tcPr>
          <w:p>
            <w:pPr>
              <w:spacing w:after="0" w:line="122" w:lineRule="exact"/>
              <w:rPr>
                <w:sz w:val="20"/>
                <w:szCs w:val="20"/>
                <w:color w:val="auto"/>
              </w:rPr>
            </w:pPr>
            <w:r>
              <w:rPr>
                <w:rFonts w:ascii="Arial" w:cs="Arial" w:eastAsia="Arial" w:hAnsi="Arial"/>
                <w:sz w:val="11"/>
                <w:szCs w:val="11"/>
                <w:color w:val="0000FF"/>
              </w:rPr>
              <w:t>Press Release dated January 15, 2026.</w:t>
            </w:r>
          </w:p>
        </w:tc>
      </w:tr>
      <w:tr>
        <w:trPr>
          <w:trHeight w:val="20"/>
        </w:trPr>
        <w:tc>
          <w:tcPr>
            <w:tcW w:w="20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33"/>
        </w:trPr>
        <w:tc>
          <w:tcPr>
            <w:tcW w:w="2040" w:type="dxa"/>
            <w:vAlign w:val="bottom"/>
          </w:tcPr>
          <w:p>
            <w:pPr>
              <w:spacing w:after="0"/>
              <w:rPr>
                <w:sz w:val="20"/>
                <w:szCs w:val="20"/>
                <w:color w:val="auto"/>
              </w:rPr>
            </w:pPr>
            <w:r>
              <w:rPr>
                <w:rFonts w:ascii="Arial" w:cs="Arial" w:eastAsia="Arial" w:hAnsi="Arial"/>
                <w:sz w:val="11"/>
                <w:szCs w:val="11"/>
                <w:color w:val="auto"/>
              </w:rPr>
              <w:t>99.2</w:t>
            </w:r>
          </w:p>
        </w:tc>
        <w:tc>
          <w:tcPr>
            <w:tcW w:w="2440" w:type="dxa"/>
            <w:vAlign w:val="bottom"/>
            <w:tcBorders>
              <w:bottom w:val="single" w:sz="8" w:color="0000FF"/>
            </w:tcBorders>
            <w:gridSpan w:val="2"/>
          </w:tcPr>
          <w:p>
            <w:pPr>
              <w:spacing w:after="0"/>
              <w:rPr>
                <w:sz w:val="20"/>
                <w:szCs w:val="20"/>
                <w:color w:val="auto"/>
              </w:rPr>
            </w:pPr>
            <w:r>
              <w:rPr>
                <w:rFonts w:ascii="Arial" w:cs="Arial" w:eastAsia="Arial" w:hAnsi="Arial"/>
                <w:sz w:val="11"/>
                <w:szCs w:val="11"/>
                <w:color w:val="0000FF"/>
                <w:w w:val="97"/>
              </w:rPr>
              <w:t>Investor Call Presentation dated January 15, 2026.</w:t>
            </w:r>
          </w:p>
        </w:tc>
        <w:tc>
          <w:tcPr>
            <w:tcW w:w="2480" w:type="dxa"/>
            <w:vAlign w:val="bottom"/>
          </w:tcPr>
          <w:p>
            <w:pPr>
              <w:spacing w:after="0"/>
              <w:rPr>
                <w:sz w:val="11"/>
                <w:szCs w:val="11"/>
                <w:color w:val="auto"/>
              </w:rPr>
            </w:pPr>
          </w:p>
        </w:tc>
      </w:tr>
      <w:tr>
        <w:trPr>
          <w:trHeight w:val="158"/>
        </w:trPr>
        <w:tc>
          <w:tcPr>
            <w:tcW w:w="2040" w:type="dxa"/>
            <w:vAlign w:val="bottom"/>
          </w:tcPr>
          <w:p>
            <w:pPr>
              <w:spacing w:after="0"/>
              <w:rPr>
                <w:sz w:val="20"/>
                <w:szCs w:val="20"/>
                <w:color w:val="auto"/>
              </w:rPr>
            </w:pPr>
            <w:r>
              <w:rPr>
                <w:rFonts w:ascii="Arial" w:cs="Arial" w:eastAsia="Arial" w:hAnsi="Arial"/>
                <w:sz w:val="11"/>
                <w:szCs w:val="11"/>
                <w:color w:val="auto"/>
              </w:rPr>
              <w:t>104</w:t>
            </w:r>
          </w:p>
        </w:tc>
        <w:tc>
          <w:tcPr>
            <w:tcW w:w="4920" w:type="dxa"/>
            <w:vAlign w:val="bottom"/>
            <w:gridSpan w:val="3"/>
          </w:tcPr>
          <w:p>
            <w:pPr>
              <w:spacing w:after="0"/>
              <w:rPr>
                <w:sz w:val="20"/>
                <w:szCs w:val="20"/>
                <w:color w:val="auto"/>
              </w:rPr>
            </w:pPr>
            <w:r>
              <w:rPr>
                <w:rFonts w:ascii="Arial" w:cs="Arial" w:eastAsia="Arial" w:hAnsi="Arial"/>
                <w:sz w:val="11"/>
                <w:szCs w:val="11"/>
                <w:color w:val="auto"/>
                <w:w w:val="98"/>
              </w:rPr>
              <w:t>Cover Page Interactive Data File (cover page XBRL tags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106680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03" w:right="339" w:bottom="1440" w:gutter="0" w:footer="0" w:header="0"/>
        </w:sectPr>
      </w:pPr>
    </w:p>
    <w:bookmarkStart w:id="4" w:name="page5"/>
    <w:bookmarkEnd w:id="4"/>
    <w:p>
      <w:pPr>
        <w:ind w:left="5300"/>
        <w:spacing w:after="0"/>
        <w:rPr>
          <w:sz w:val="20"/>
          <w:szCs w:val="20"/>
          <w:color w:val="auto"/>
        </w:rPr>
      </w:pPr>
      <w:r>
        <w:rPr>
          <w:rFonts w:ascii="Arial" w:cs="Arial" w:eastAsia="Arial" w:hAnsi="Arial"/>
          <w:sz w:val="11"/>
          <w:szCs w:val="11"/>
          <w:b w:val="1"/>
          <w:bCs w:val="1"/>
          <w:color w:val="auto"/>
        </w:rPr>
        <w:t>SIGNATURES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1"/>
                <w:szCs w:val="11"/>
                <w:color w:val="auto"/>
              </w:rPr>
              <w:t>TALEN ENERGY CORPORATION</w:t>
            </w:r>
          </w:p>
        </w:tc>
      </w:tr>
      <w:tr>
        <w:trPr>
          <w:trHeight w:val="162"/>
        </w:trPr>
        <w:tc>
          <w:tcPr>
            <w:tcW w:w="480" w:type="dxa"/>
            <w:vAlign w:val="bottom"/>
          </w:tcPr>
          <w:p>
            <w:pPr>
              <w:spacing w:after="0"/>
              <w:rPr>
                <w:sz w:val="20"/>
                <w:szCs w:val="20"/>
                <w:color w:val="auto"/>
              </w:rPr>
            </w:pPr>
            <w:r>
              <w:rPr>
                <w:rFonts w:ascii="Arial" w:cs="Arial" w:eastAsia="Arial" w:hAnsi="Arial"/>
                <w:sz w:val="11"/>
                <w:szCs w:val="11"/>
                <w:color w:val="auto"/>
              </w:rPr>
              <w:t>Date:</w:t>
            </w:r>
          </w:p>
        </w:tc>
        <w:tc>
          <w:tcPr>
            <w:tcW w:w="3340" w:type="dxa"/>
            <w:vAlign w:val="bottom"/>
          </w:tcPr>
          <w:p>
            <w:pPr>
              <w:ind w:left="220"/>
              <w:spacing w:after="0"/>
              <w:rPr>
                <w:sz w:val="20"/>
                <w:szCs w:val="20"/>
                <w:color w:val="auto"/>
              </w:rPr>
            </w:pPr>
            <w:r>
              <w:rPr>
                <w:rFonts w:ascii="Arial" w:cs="Arial" w:eastAsia="Arial" w:hAnsi="Arial"/>
                <w:sz w:val="11"/>
                <w:szCs w:val="11"/>
                <w:color w:val="auto"/>
              </w:rPr>
              <w:t>January 15, 2026</w:t>
            </w:r>
          </w:p>
        </w:tc>
        <w:tc>
          <w:tcPr>
            <w:tcW w:w="3020" w:type="dxa"/>
            <w:vAlign w:val="bottom"/>
          </w:tcPr>
          <w:p>
            <w:pPr>
              <w:ind w:left="2260"/>
              <w:spacing w:after="0"/>
              <w:rPr>
                <w:sz w:val="20"/>
                <w:szCs w:val="20"/>
                <w:color w:val="auto"/>
              </w:rPr>
            </w:pPr>
            <w:r>
              <w:rPr>
                <w:rFonts w:ascii="Arial" w:cs="Arial" w:eastAsia="Arial" w:hAnsi="Arial"/>
                <w:sz w:val="11"/>
                <w:szCs w:val="11"/>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/s/ Cole Muller</w:t>
            </w:r>
          </w:p>
        </w:tc>
      </w:tr>
      <w:tr>
        <w:trPr>
          <w:trHeight w:val="151"/>
        </w:trPr>
        <w:tc>
          <w:tcPr>
            <w:tcW w:w="4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020" w:type="dxa"/>
            <w:vAlign w:val="bottom"/>
          </w:tcPr>
          <w:p>
            <w:pPr>
              <w:ind w:left="2260"/>
              <w:spacing w:after="0"/>
              <w:rPr>
                <w:sz w:val="20"/>
                <w:szCs w:val="20"/>
                <w:color w:val="auto"/>
              </w:rPr>
            </w:pPr>
            <w:r>
              <w:rPr>
                <w:rFonts w:ascii="Arial" w:cs="Arial" w:eastAsia="Arial" w:hAnsi="Arial"/>
                <w:sz w:val="11"/>
                <w:szCs w:val="11"/>
                <w:color w:val="auto"/>
              </w:rPr>
              <w:t>Name:</w:t>
            </w:r>
          </w:p>
        </w:tc>
        <w:tc>
          <w:tcPr>
            <w:tcW w:w="4460" w:type="dxa"/>
            <w:vAlign w:val="bottom"/>
          </w:tcPr>
          <w:p>
            <w:pPr>
              <w:ind w:left="20"/>
              <w:spacing w:after="0"/>
              <w:rPr>
                <w:sz w:val="20"/>
                <w:szCs w:val="20"/>
                <w:color w:val="auto"/>
              </w:rPr>
            </w:pPr>
            <w:r>
              <w:rPr>
                <w:rFonts w:ascii="Arial" w:cs="Arial" w:eastAsia="Arial" w:hAnsi="Arial"/>
                <w:sz w:val="11"/>
                <w:szCs w:val="11"/>
                <w:color w:val="auto"/>
              </w:rPr>
              <w:t>Cole Muller</w:t>
            </w:r>
          </w:p>
        </w:tc>
      </w:tr>
      <w:tr>
        <w:trPr>
          <w:trHeight w:val="162"/>
        </w:trPr>
        <w:tc>
          <w:tcPr>
            <w:tcW w:w="4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20" w:type="dxa"/>
            <w:vAlign w:val="bottom"/>
          </w:tcPr>
          <w:p>
            <w:pPr>
              <w:ind w:left="2260"/>
              <w:spacing w:after="0"/>
              <w:rPr>
                <w:sz w:val="20"/>
                <w:szCs w:val="20"/>
                <w:color w:val="auto"/>
              </w:rPr>
            </w:pPr>
            <w:r>
              <w:rPr>
                <w:rFonts w:ascii="Arial" w:cs="Arial" w:eastAsia="Arial" w:hAnsi="Arial"/>
                <w:sz w:val="11"/>
                <w:szCs w:val="11"/>
                <w:color w:val="auto"/>
              </w:rPr>
              <w:t>Title:</w:t>
            </w:r>
          </w:p>
        </w:tc>
        <w:tc>
          <w:tcPr>
            <w:tcW w:w="4460" w:type="dxa"/>
            <w:vAlign w:val="bottom"/>
          </w:tcPr>
          <w:p>
            <w:pPr>
              <w:ind w:left="20"/>
              <w:spacing w:after="0"/>
              <w:rPr>
                <w:sz w:val="20"/>
                <w:szCs w:val="20"/>
                <w:color w:val="auto"/>
              </w:rPr>
            </w:pPr>
            <w:r>
              <w:rPr>
                <w:rFonts w:ascii="Arial" w:cs="Arial" w:eastAsia="Arial" w:hAnsi="Arial"/>
                <w:sz w:val="11"/>
                <w:szCs w:val="1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1300"/>
          </w:cols>
          <w:pgMar w:left="300" w:top="1103"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1"/>
          <w:szCs w:val="1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Talen Energy Continues Portfolio Expansion with Acquisition of Additional High-Quality PJM Natural Gas Assets from Energy Capital Partners</w:t>
      </w:r>
    </w:p>
    <w:p>
      <w:pPr>
        <w:spacing w:after="0" w:line="262" w:lineRule="exact"/>
        <w:rPr>
          <w:sz w:val="20"/>
          <w:szCs w:val="20"/>
          <w:color w:val="auto"/>
        </w:rPr>
      </w:pPr>
    </w:p>
    <w:p>
      <w:pPr>
        <w:ind w:left="8" w:right="200"/>
        <w:spacing w:after="0" w:line="245" w:lineRule="auto"/>
        <w:rPr>
          <w:sz w:val="20"/>
          <w:szCs w:val="20"/>
          <w:color w:val="auto"/>
        </w:rPr>
      </w:pPr>
      <w:r>
        <w:rPr>
          <w:rFonts w:ascii="Arial" w:cs="Arial" w:eastAsia="Arial" w:hAnsi="Arial"/>
          <w:sz w:val="11"/>
          <w:szCs w:val="11"/>
          <w:b w:val="1"/>
          <w:bCs w:val="1"/>
          <w:color w:val="auto"/>
        </w:rPr>
        <w:t xml:space="preserve">HOUSTON, January 15, 2026 </w:t>
      </w:r>
      <w:r>
        <w:rPr>
          <w:rFonts w:ascii="Arial" w:cs="Arial" w:eastAsia="Arial" w:hAnsi="Arial"/>
          <w:sz w:val="11"/>
          <w:szCs w:val="11"/>
          <w:color w:val="auto"/>
        </w:rPr>
        <w:t>– Talen Energy Corporation (“Talen,” “we,” or “our”) (</w:t>
      </w:r>
      <w:r>
        <w:rPr>
          <w:rFonts w:ascii="Arial" w:cs="Arial" w:eastAsia="Arial" w:hAnsi="Arial"/>
          <w:sz w:val="11"/>
          <w:szCs w:val="11"/>
          <w:u w:val="single" w:color="auto"/>
          <w:color w:val="0E32E1"/>
        </w:rPr>
        <w:t>NASDAQ: TLN</w:t>
      </w:r>
      <w:r>
        <w:rPr>
          <w:rFonts w:ascii="Arial" w:cs="Arial" w:eastAsia="Arial" w:hAnsi="Arial"/>
          <w:sz w:val="11"/>
          <w:szCs w:val="11"/>
          <w:color w:val="auto"/>
        </w:rPr>
        <w:t>), a leading independent power producer, announced it has signed definitive agreements to add approximately 2.6 gigawatts of natural</w:t>
      </w:r>
      <w:r>
        <w:rPr>
          <w:rFonts w:ascii="Arial" w:cs="Arial" w:eastAsia="Arial" w:hAnsi="Arial"/>
          <w:sz w:val="11"/>
          <w:szCs w:val="11"/>
          <w:b w:val="1"/>
          <w:bCs w:val="1"/>
          <w:color w:val="auto"/>
        </w:rPr>
        <w:t xml:space="preserve"> </w:t>
      </w:r>
      <w:r>
        <w:rPr>
          <w:rFonts w:ascii="Arial" w:cs="Arial" w:eastAsia="Arial" w:hAnsi="Arial"/>
          <w:sz w:val="11"/>
          <w:szCs w:val="11"/>
          <w:color w:val="auto"/>
        </w:rPr>
        <w:t>gas generation capacity to Talen’s portfolio through the acquisition of the Waterford Energy Center (“Waterford”) and Darby Generating Station (“Darby”) in Ohio and the Lawrenceburg Power Plant (“Lawrenceburg”) in Indiana from Energy Capital Partners (“ECP”). The acquisition will substantially expand Talen’s presence in the western PJM market and add additional efficient baseload generation assets to its fleet.</w:t>
      </w:r>
    </w:p>
    <w:p>
      <w:pPr>
        <w:spacing w:after="0" w:line="83" w:lineRule="exact"/>
        <w:rPr>
          <w:sz w:val="20"/>
          <w:szCs w:val="20"/>
          <w:color w:val="auto"/>
        </w:rPr>
      </w:pPr>
    </w:p>
    <w:p>
      <w:pPr>
        <w:ind w:left="8" w:right="80"/>
        <w:spacing w:after="0" w:line="221" w:lineRule="auto"/>
        <w:rPr>
          <w:sz w:val="20"/>
          <w:szCs w:val="20"/>
          <w:color w:val="auto"/>
        </w:rPr>
      </w:pPr>
      <w:r>
        <w:rPr>
          <w:rFonts w:ascii="Arial" w:cs="Arial" w:eastAsia="Arial" w:hAnsi="Arial"/>
          <w:sz w:val="11"/>
          <w:szCs w:val="11"/>
          <w:color w:val="auto"/>
        </w:rPr>
        <w:t>The acquisition price is $3.45 billion and consists of approximately $2.55 billion in cash and approximately $900 million</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in Talen stock. The price reflects an attractive multiple of approximately 6.6x 2027E adjusted EBITDA. The transaction is expected to provide immediate and significant adjusted free cash flow per share accretion in excess of 15% annually through 2030E. Additionally, these assets are expected to achieve an approximately 85% unlevered free cash flow conversion rate before recognition of any tax benefits.</w:t>
      </w:r>
    </w:p>
    <w:p>
      <w:pPr>
        <w:spacing w:after="0" w:line="94" w:lineRule="exact"/>
        <w:rPr>
          <w:sz w:val="20"/>
          <w:szCs w:val="20"/>
          <w:color w:val="auto"/>
        </w:rPr>
      </w:pPr>
    </w:p>
    <w:p>
      <w:pPr>
        <w:ind w:left="8" w:right="20"/>
        <w:spacing w:after="0" w:line="245" w:lineRule="auto"/>
        <w:rPr>
          <w:sz w:val="20"/>
          <w:szCs w:val="20"/>
          <w:color w:val="auto"/>
        </w:rPr>
      </w:pPr>
      <w:r>
        <w:rPr>
          <w:rFonts w:ascii="Arial" w:cs="Arial" w:eastAsia="Arial" w:hAnsi="Arial"/>
          <w:sz w:val="11"/>
          <w:szCs w:val="11"/>
          <w:color w:val="auto"/>
        </w:rPr>
        <w:t>“This acquisition further diversifies Talen’s generation portfolio by adding both baseload capacity and strong cash flow contribution and enhances our presence in the western PJM market, which has significant data center tailwinds,” said Mac McFarland, Talen Chief Executive Officer. “The transaction is immediately cash flow accretive and maintains our balance sheet discipline. Following on the heels of our acquisition of Freedom and Guernsey in 2025, it is another great example of our ‘Talen flywheel’ strategy.”</w:t>
      </w:r>
    </w:p>
    <w:p>
      <w:pPr>
        <w:spacing w:after="0" w:line="81"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“ECP invested in this portfolio to serve rapid load growth in the Ohio region with efficient, baseload natural gas assets; we continue to believe this is PJM's most exciting narrative,” said Andrew Gilbert, ECP Partner. “Talen has demonstrated that its platform of scale is uniquely positioned to serve PJM’s large customers and, with this transaction, will only be better positioned to do so. As a significant shareholder, ECP is excited to enhance our exposure to Ohio's growth via Talen’s successful flywheel strategy.”</w:t>
      </w:r>
    </w:p>
    <w:p>
      <w:pPr>
        <w:spacing w:after="0" w:line="90" w:lineRule="exact"/>
        <w:rPr>
          <w:sz w:val="20"/>
          <w:szCs w:val="20"/>
          <w:color w:val="auto"/>
        </w:rPr>
      </w:pPr>
    </w:p>
    <w:p>
      <w:pPr>
        <w:ind w:left="8" w:right="260"/>
        <w:spacing w:after="0" w:line="250" w:lineRule="auto"/>
        <w:rPr>
          <w:sz w:val="20"/>
          <w:szCs w:val="20"/>
          <w:color w:val="auto"/>
        </w:rPr>
      </w:pPr>
      <w:r>
        <w:rPr>
          <w:rFonts w:ascii="Arial" w:cs="Arial" w:eastAsia="Arial" w:hAnsi="Arial"/>
          <w:sz w:val="11"/>
          <w:szCs w:val="11"/>
          <w:color w:val="auto"/>
        </w:rPr>
        <w:t>“When this transaction is complete, Talen will have approximately doubled its expected annual generation output inside of two years, meaningfully diversified our fleet, and materially increased our free cash flow per share,” said Terry Nutt, Talen President. “We are also excited to welcome ECP as a significant Talen shareholder.”</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Key Strategic and Acquisition Highlights</w:t>
      </w:r>
    </w:p>
    <w:p>
      <w:pPr>
        <w:spacing w:after="0" w:line="117" w:lineRule="exact"/>
        <w:rPr>
          <w:sz w:val="20"/>
          <w:szCs w:val="20"/>
          <w:color w:val="auto"/>
        </w:rPr>
      </w:pPr>
    </w:p>
    <w:p>
      <w:pPr>
        <w:ind w:left="208" w:right="40" w:hanging="208"/>
        <w:spacing w:after="0" w:line="254" w:lineRule="auto"/>
        <w:tabs>
          <w:tab w:leader="none" w:pos="201"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Expands and Diversifies Talen’s Fleet: </w:t>
      </w:r>
      <w:r>
        <w:rPr>
          <w:rFonts w:ascii="Arial" w:cs="Arial" w:eastAsia="Arial" w:hAnsi="Arial"/>
          <w:sz w:val="11"/>
          <w:szCs w:val="11"/>
          <w:color w:val="auto"/>
        </w:rPr>
        <w:t>The 1,218-megawatt Lawrenceburg and 869-megawatt Waterford facilities are highly efficient and modern CCGTs that add both baseload generation and cash flow diversification. The plants</w:t>
      </w:r>
      <w:r>
        <w:rPr>
          <w:rFonts w:ascii="Arial" w:cs="Arial" w:eastAsia="Arial" w:hAnsi="Arial"/>
          <w:sz w:val="11"/>
          <w:szCs w:val="11"/>
          <w:b w:val="1"/>
          <w:bCs w:val="1"/>
          <w:color w:val="auto"/>
        </w:rPr>
        <w:t xml:space="preserve"> </w:t>
      </w:r>
      <w:r>
        <w:rPr>
          <w:rFonts w:ascii="Arial" w:cs="Arial" w:eastAsia="Arial" w:hAnsi="Arial"/>
          <w:sz w:val="11"/>
          <w:szCs w:val="11"/>
          <w:color w:val="auto"/>
        </w:rPr>
        <w:t>have an average heat rate of approximately 7,000 Btu/kWh and capacity factors greater than 80%. Their highly efficient dispatch profile results in significant energy margin, while the low cost and capital requirements provide strong cash flow conversion. The 480-megawatt Darby facility operates as a peaking unit and can provide attractive commercial flexibility. All three facilities have reliable access to low-cost gas from the Marcellus and Utica shale formations and continue the geographic and fuel diversification reflected by the previous Freedom and Guernsey acquisitions.</w:t>
      </w:r>
    </w:p>
    <w:p>
      <w:pPr>
        <w:spacing w:after="0" w:line="85" w:lineRule="exact"/>
        <w:rPr>
          <w:rFonts w:ascii="Arial" w:cs="Arial" w:eastAsia="Arial" w:hAnsi="Arial"/>
          <w:sz w:val="11"/>
          <w:szCs w:val="11"/>
          <w:b w:val="1"/>
          <w:bCs w:val="1"/>
          <w:color w:val="auto"/>
        </w:rPr>
      </w:pPr>
    </w:p>
    <w:p>
      <w:pPr>
        <w:ind w:left="208" w:right="260" w:hanging="208"/>
        <w:spacing w:after="0" w:line="285" w:lineRule="auto"/>
        <w:tabs>
          <w:tab w:leader="none" w:pos="201"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Enhances Platform for Data Center and Large-load Contracting: </w:t>
      </w:r>
      <w:r>
        <w:rPr>
          <w:rFonts w:ascii="Arial" w:cs="Arial" w:eastAsia="Arial" w:hAnsi="Arial"/>
          <w:sz w:val="11"/>
          <w:szCs w:val="11"/>
          <w:color w:val="auto"/>
        </w:rPr>
        <w:t>The addition of the facilities to Talen’s portfolio enhances Talen’s ability to offer reliable, scalable, grid-supported, and regionally diverse low-carbon capacity to</w:t>
      </w:r>
      <w:r>
        <w:rPr>
          <w:rFonts w:ascii="Arial" w:cs="Arial" w:eastAsia="Arial" w:hAnsi="Arial"/>
          <w:sz w:val="11"/>
          <w:szCs w:val="11"/>
          <w:b w:val="1"/>
          <w:bCs w:val="1"/>
          <w:color w:val="auto"/>
        </w:rPr>
        <w:t xml:space="preserve"> </w:t>
      </w:r>
      <w:r>
        <w:rPr>
          <w:rFonts w:ascii="Arial" w:cs="Arial" w:eastAsia="Arial" w:hAnsi="Arial"/>
          <w:sz w:val="11"/>
          <w:szCs w:val="11"/>
          <w:color w:val="auto"/>
        </w:rPr>
        <w:t>hyperscale data centers and large commercial off-takers. The expansion of operations in Ohio allows Talen to serve a growing, top-tier data center market.</w:t>
      </w:r>
    </w:p>
    <w:p>
      <w:pPr>
        <w:spacing w:after="0" w:line="68" w:lineRule="exact"/>
        <w:rPr>
          <w:rFonts w:ascii="Arial" w:cs="Arial" w:eastAsia="Arial" w:hAnsi="Arial"/>
          <w:sz w:val="11"/>
          <w:szCs w:val="11"/>
          <w:b w:val="1"/>
          <w:bCs w:val="1"/>
          <w:color w:val="auto"/>
        </w:rPr>
      </w:pPr>
    </w:p>
    <w:p>
      <w:pPr>
        <w:ind w:left="208" w:hanging="208"/>
        <w:spacing w:after="0"/>
        <w:tabs>
          <w:tab w:leader="none" w:pos="208"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Unlocks Material Value Day One: </w:t>
      </w:r>
      <w:r>
        <w:rPr>
          <w:rFonts w:ascii="Arial" w:cs="Arial" w:eastAsia="Arial" w:hAnsi="Arial"/>
          <w:sz w:val="11"/>
          <w:szCs w:val="11"/>
          <w:color w:val="auto"/>
        </w:rPr>
        <w:t>The transaction is expected to be immediately accretive to adjusted free cash flow per share by over 15% annually through 2030E.</w:t>
      </w:r>
    </w:p>
    <w:p>
      <w:pPr>
        <w:spacing w:after="0" w:line="116" w:lineRule="exact"/>
        <w:rPr>
          <w:rFonts w:ascii="Arial" w:cs="Arial" w:eastAsia="Arial" w:hAnsi="Arial"/>
          <w:sz w:val="11"/>
          <w:szCs w:val="11"/>
          <w:b w:val="1"/>
          <w:bCs w:val="1"/>
          <w:color w:val="auto"/>
        </w:rPr>
      </w:pPr>
    </w:p>
    <w:p>
      <w:pPr>
        <w:ind w:left="208" w:hanging="208"/>
        <w:spacing w:after="0"/>
        <w:tabs>
          <w:tab w:leader="none" w:pos="208"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Maintains Balance Sheet Strength: </w:t>
      </w:r>
      <w:r>
        <w:rPr>
          <w:rFonts w:ascii="Arial" w:cs="Arial" w:eastAsia="Arial" w:hAnsi="Arial"/>
          <w:sz w:val="11"/>
          <w:szCs w:val="11"/>
          <w:color w:val="auto"/>
        </w:rPr>
        <w:t>Talen expects robust pro forma cash flows to drive rapid deleveraging with the ability to achieve a net leverage target of 3.5x or lower by year-end 2026.</w:t>
      </w:r>
    </w:p>
    <w:p>
      <w:pPr>
        <w:spacing w:after="0" w:line="107" w:lineRule="exact"/>
        <w:rPr>
          <w:rFonts w:ascii="Arial" w:cs="Arial" w:eastAsia="Arial" w:hAnsi="Arial"/>
          <w:sz w:val="11"/>
          <w:szCs w:val="11"/>
          <w:b w:val="1"/>
          <w:bCs w:val="1"/>
          <w:color w:val="auto"/>
        </w:rPr>
      </w:pPr>
    </w:p>
    <w:p>
      <w:pPr>
        <w:ind w:left="208" w:hanging="208"/>
        <w:spacing w:after="0"/>
        <w:tabs>
          <w:tab w:leader="none" w:pos="208"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Stock Consideration: </w:t>
      </w:r>
      <w:r>
        <w:rPr>
          <w:rFonts w:ascii="Arial" w:cs="Arial" w:eastAsia="Arial" w:hAnsi="Arial"/>
          <w:sz w:val="11"/>
          <w:szCs w:val="11"/>
          <w:color w:val="auto"/>
        </w:rPr>
        <w:t>ECP has agreed to receive approximately $900 million of consideration in the form of Talen equity and will become a significant shareholder post close.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spacing w:after="0"/>
        <w:rPr>
          <w:sz w:val="20"/>
          <w:szCs w:val="20"/>
          <w:color w:val="auto"/>
        </w:rPr>
      </w:pPr>
      <w:r>
        <w:rPr>
          <w:rFonts w:ascii="Arial" w:cs="Arial" w:eastAsia="Arial" w:hAnsi="Arial"/>
          <w:sz w:val="8"/>
          <w:szCs w:val="8"/>
          <w:color w:val="auto"/>
        </w:rPr>
        <w:t>_________________________________</w:t>
      </w:r>
    </w:p>
    <w:p>
      <w:pPr>
        <w:spacing w:after="0" w:line="77" w:lineRule="exact"/>
        <w:rPr>
          <w:sz w:val="20"/>
          <w:szCs w:val="20"/>
          <w:color w:val="auto"/>
        </w:rPr>
      </w:pPr>
    </w:p>
    <w:p>
      <w:pPr>
        <w:ind w:left="88" w:hanging="88"/>
        <w:spacing w:after="0"/>
        <w:tabs>
          <w:tab w:leader="none" w:pos="88" w:val="left"/>
        </w:tabs>
        <w:numPr>
          <w:ilvl w:val="0"/>
          <w:numId w:val="3"/>
        </w:numPr>
        <w:rPr>
          <w:rFonts w:ascii="Arial" w:cs="Arial" w:eastAsia="Arial" w:hAnsi="Arial"/>
          <w:sz w:val="6"/>
          <w:szCs w:val="6"/>
          <w:color w:val="auto"/>
        </w:rPr>
      </w:pPr>
      <w:r>
        <w:rPr>
          <w:rFonts w:ascii="Arial" w:cs="Arial" w:eastAsia="Arial" w:hAnsi="Arial"/>
          <w:sz w:val="10"/>
          <w:szCs w:val="10"/>
          <w:color w:val="auto"/>
        </w:rPr>
        <w:t>2.4 million shares to be issued to ECP, which is expected to result in ECP owning approximately 5% of pro forma combined Talen equity estimated as of assumed closing date.</w:t>
      </w:r>
    </w:p>
    <w:p>
      <w:pPr>
        <w:spacing w:after="0" w:line="200" w:lineRule="exact"/>
        <w:rPr>
          <w:rFonts w:ascii="Arial" w:cs="Arial" w:eastAsia="Arial" w:hAnsi="Arial"/>
          <w:sz w:val="6"/>
          <w:szCs w:val="6"/>
          <w:color w:val="auto"/>
        </w:rPr>
      </w:pPr>
    </w:p>
    <w:p>
      <w:pPr>
        <w:spacing w:after="0" w:line="200" w:lineRule="exact"/>
        <w:rPr>
          <w:rFonts w:ascii="Arial" w:cs="Arial" w:eastAsia="Arial" w:hAnsi="Arial"/>
          <w:sz w:val="6"/>
          <w:szCs w:val="6"/>
          <w:color w:val="auto"/>
        </w:rPr>
      </w:pPr>
    </w:p>
    <w:p>
      <w:pPr>
        <w:spacing w:after="0" w:line="336" w:lineRule="exact"/>
        <w:rPr>
          <w:rFonts w:ascii="Arial" w:cs="Arial" w:eastAsia="Arial" w:hAnsi="Arial"/>
          <w:sz w:val="6"/>
          <w:szCs w:val="6"/>
          <w:color w:val="auto"/>
        </w:rPr>
      </w:pPr>
    </w:p>
    <w:p>
      <w:pPr>
        <w:ind w:left="5728"/>
        <w:spacing w:after="0"/>
        <w:rPr>
          <w:rFonts w:ascii="Arial" w:cs="Arial" w:eastAsia="Arial" w:hAnsi="Arial"/>
          <w:sz w:val="6"/>
          <w:szCs w:val="6"/>
          <w:color w:val="auto"/>
        </w:rPr>
      </w:pPr>
      <w:r>
        <w:rPr>
          <w:rFonts w:ascii="Arial" w:cs="Arial" w:eastAsia="Arial" w:hAnsi="Arial"/>
          <w:sz w:val="11"/>
          <w:szCs w:val="11"/>
          <w:color w:val="auto"/>
        </w:rPr>
        <w:t>1</w:t>
      </w:r>
    </w:p>
    <w:p>
      <w:pPr>
        <w:sectPr>
          <w:pgSz w:w="11900" w:h="16838" w:orient="portrait"/>
          <w:cols w:equalWidth="0" w:num="1">
            <w:col w:w="11308"/>
          </w:cols>
          <w:pgMar w:left="292" w:top="131"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Additional Transaction Details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Talen expects to issue new debt to fund the cash portion of the purchase price.</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1"/>
          <w:szCs w:val="11"/>
          <w:color w:val="auto"/>
        </w:rPr>
        <w:t>The transaction is expected to close early in the second half of 2026 and is subject to the satisfaction of customary closing conditions, including the expiration or termination of the waiting period pursuant to the Hart-Scott-Rodino Act of 1976, and regulatory approvals from the Federal Energy Regulatory Commission, Indiana Utility Regulatory Commission and other regulatory agencies.</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Advisors</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RBC Capital Markets is exclusive M&amp;A advisor to Talen. Kirkland &amp; Ellis LLP and White &amp; Case LLP are legal counsel to Talen.</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Jefferies LLC and PEI Global Partners are financial advisors to ECP. Milbank Tweed LLP is legal counsel to ECP.</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 Call</w:t>
      </w:r>
    </w:p>
    <w:p>
      <w:pPr>
        <w:spacing w:after="0" w:line="108" w:lineRule="exact"/>
        <w:rPr>
          <w:sz w:val="20"/>
          <w:szCs w:val="20"/>
          <w:color w:val="auto"/>
        </w:rPr>
      </w:pPr>
    </w:p>
    <w:p>
      <w:pPr>
        <w:jc w:val="both"/>
        <w:ind w:right="200"/>
        <w:spacing w:after="0" w:line="262" w:lineRule="auto"/>
        <w:rPr>
          <w:sz w:val="20"/>
          <w:szCs w:val="20"/>
          <w:color w:val="auto"/>
        </w:rPr>
      </w:pPr>
      <w:r>
        <w:rPr>
          <w:rFonts w:ascii="Arial" w:cs="Arial" w:eastAsia="Arial" w:hAnsi="Arial"/>
          <w:sz w:val="11"/>
          <w:szCs w:val="11"/>
          <w:color w:val="auto"/>
        </w:rPr>
        <w:t xml:space="preserve">Talen will host an investor call at 8:30 a.m. ET today, Thursday, January 15, 2026. To participate in the call, please register for the webcast via the page linked </w:t>
      </w:r>
      <w:r>
        <w:rPr>
          <w:rFonts w:ascii="Arial" w:cs="Arial" w:eastAsia="Arial" w:hAnsi="Arial"/>
          <w:sz w:val="11"/>
          <w:szCs w:val="11"/>
          <w:u w:val="single" w:color="auto"/>
          <w:color w:val="0E32E1"/>
        </w:rPr>
        <w:t>here</w:t>
      </w:r>
      <w:r>
        <w:rPr>
          <w:rFonts w:ascii="Arial" w:cs="Arial" w:eastAsia="Arial" w:hAnsi="Arial"/>
          <w:sz w:val="11"/>
          <w:szCs w:val="11"/>
          <w:color w:val="auto"/>
        </w:rPr>
        <w:t xml:space="preserve">. Participants can also join by phone by registering via the form linked </w:t>
      </w:r>
      <w:r>
        <w:rPr>
          <w:rFonts w:ascii="Arial" w:cs="Arial" w:eastAsia="Arial" w:hAnsi="Arial"/>
          <w:sz w:val="11"/>
          <w:szCs w:val="11"/>
          <w:u w:val="single" w:color="auto"/>
          <w:color w:val="0E32E1"/>
        </w:rPr>
        <w:t>here</w:t>
      </w:r>
      <w:r>
        <w:rPr>
          <w:rFonts w:ascii="Arial" w:cs="Arial" w:eastAsia="Arial" w:hAnsi="Arial"/>
          <w:sz w:val="11"/>
          <w:szCs w:val="11"/>
          <w:color w:val="0E32E1"/>
        </w:rPr>
        <w:t xml:space="preserve"> </w:t>
      </w:r>
      <w:r>
        <w:rPr>
          <w:rFonts w:ascii="Arial" w:cs="Arial" w:eastAsia="Arial" w:hAnsi="Arial"/>
          <w:sz w:val="11"/>
          <w:szCs w:val="11"/>
          <w:color w:val="000000"/>
        </w:rPr>
        <w:t>prior to the start time of the call to receive a conference call dial-in number. For those unable to participate in the live event, a digital replay will be archived for approximately one year and available on the Events page of Talen’s</w:t>
      </w:r>
      <w:r>
        <w:rPr>
          <w:rFonts w:ascii="Arial" w:cs="Arial" w:eastAsia="Arial" w:hAnsi="Arial"/>
          <w:sz w:val="11"/>
          <w:szCs w:val="11"/>
          <w:color w:val="0E32E1"/>
        </w:rPr>
        <w:t xml:space="preserve"> </w:t>
      </w:r>
      <w:r>
        <w:rPr>
          <w:rFonts w:ascii="Arial" w:cs="Arial" w:eastAsia="Arial" w:hAnsi="Arial"/>
          <w:sz w:val="11"/>
          <w:szCs w:val="11"/>
          <w:color w:val="000000"/>
        </w:rPr>
        <w:t xml:space="preserve">Investor Relations website linked </w:t>
      </w:r>
      <w:r>
        <w:rPr>
          <w:rFonts w:ascii="Arial" w:cs="Arial" w:eastAsia="Arial" w:hAnsi="Arial"/>
          <w:sz w:val="11"/>
          <w:szCs w:val="11"/>
          <w:u w:val="single" w:color="auto"/>
          <w:color w:val="0E32E1"/>
        </w:rPr>
        <w:t>here</w:t>
      </w:r>
      <w:r>
        <w:rPr>
          <w:rFonts w:ascii="Arial" w:cs="Arial" w:eastAsia="Arial" w:hAnsi="Arial"/>
          <w:sz w:val="11"/>
          <w:szCs w:val="11"/>
          <w:color w:val="000000"/>
        </w:rPr>
        <w:t>.</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Talen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0"/>
          <w:szCs w:val="10"/>
          <w:color w:val="auto"/>
        </w:rPr>
        <w:t>Talen Energy (</w:t>
      </w:r>
      <w:r>
        <w:rPr>
          <w:rFonts w:ascii="Arial" w:cs="Arial" w:eastAsia="Arial" w:hAnsi="Arial"/>
          <w:sz w:val="10"/>
          <w:szCs w:val="10"/>
          <w:u w:val="single" w:color="auto"/>
          <w:color w:val="0E32E1"/>
        </w:rPr>
        <w:t>NASDAQ: TLN</w:t>
      </w:r>
      <w:r>
        <w:rPr>
          <w:rFonts w:ascii="Arial" w:cs="Arial" w:eastAsia="Arial" w:hAnsi="Arial"/>
          <w:sz w:val="10"/>
          <w:szCs w:val="10"/>
          <w:color w:val="auto"/>
        </w:rPr>
        <w:t xml:space="preserve">) is a leading independent power producer and energy infrastructure company dedicated to powering the future. We own and operate approximately 13.1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Ohio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 w:cs="Arial" w:eastAsia="Arial" w:hAnsi="Arial"/>
          <w:sz w:val="10"/>
          <w:szCs w:val="10"/>
          <w:u w:val="single" w:color="auto"/>
          <w:color w:val="0E32E1"/>
        </w:rPr>
        <w:t>https://www.talenenergy.com/</w:t>
      </w:r>
      <w:r>
        <w:rPr>
          <w:rFonts w:ascii="Arial" w:cs="Arial" w:eastAsia="Arial" w:hAnsi="Arial"/>
          <w:sz w:val="10"/>
          <w:szCs w:val="10"/>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Energy Capital Partners</w:t>
      </w:r>
    </w:p>
    <w:p>
      <w:pPr>
        <w:spacing w:after="0" w:line="108" w:lineRule="exact"/>
        <w:rPr>
          <w:sz w:val="20"/>
          <w:szCs w:val="20"/>
          <w:color w:val="auto"/>
        </w:rPr>
      </w:pPr>
    </w:p>
    <w:p>
      <w:pPr>
        <w:ind w:right="40"/>
        <w:spacing w:after="0" w:line="245" w:lineRule="auto"/>
        <w:rPr>
          <w:sz w:val="20"/>
          <w:szCs w:val="20"/>
          <w:color w:val="auto"/>
        </w:rPr>
      </w:pPr>
      <w:r>
        <w:rPr>
          <w:rFonts w:ascii="Arial" w:cs="Arial" w:eastAsia="Arial" w:hAnsi="Arial"/>
          <w:sz w:val="11"/>
          <w:szCs w:val="11"/>
          <w:color w:val="auto"/>
        </w:rPr>
        <w:t>Energy Capital Partners (ECP), founded in 2005, is a leading investment firm across energy transition infrastructure, with a focus on investing in electricity and sustainability infrastructure providing reliable, affordable and clean energy. In 2024, ECP combined with London-listed Bridgepoint Group Plc (LSE: BPT.L) to create a global leader in value-added middle-market investing with a combined $87 billion of assets under management across private equity, credit, and infrastructure.</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Forward-Looking Statements</w:t>
      </w:r>
    </w:p>
    <w:p>
      <w:pPr>
        <w:spacing w:after="0" w:line="108" w:lineRule="exact"/>
        <w:rPr>
          <w:sz w:val="20"/>
          <w:szCs w:val="20"/>
          <w:color w:val="auto"/>
        </w:rPr>
      </w:pPr>
    </w:p>
    <w:p>
      <w:pPr>
        <w:ind w:right="40"/>
        <w:spacing w:after="0" w:line="252" w:lineRule="auto"/>
        <w:rPr>
          <w:sz w:val="20"/>
          <w:szCs w:val="20"/>
          <w:color w:val="auto"/>
        </w:rPr>
      </w:pPr>
      <w:r>
        <w:rPr>
          <w:rFonts w:ascii="Arial" w:cs="Arial" w:eastAsia="Arial" w:hAnsi="Arial"/>
          <w:sz w:val="11"/>
          <w:szCs w:val="11"/>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proposed Lawrenceburg, Waterford, and Darby acquisition, including the financing, expected timing and completion (including required regulatory approvals), and anticipated impacts thereof, the integration of and anticipated benefits from the recent Freedom and Guernsey acquisitions, earnings, litigation, regulatory matters, hedging, liquidity and capital resources, accounting matters, expectations, beliefs, plans, objectives, goals, strategies, future events or performance, shareholder returns and underlying assumptions.</w:t>
      </w:r>
    </w:p>
    <w:p>
      <w:pPr>
        <w:spacing w:after="0" w:line="87" w:lineRule="exact"/>
        <w:rPr>
          <w:sz w:val="20"/>
          <w:szCs w:val="20"/>
          <w:color w:val="auto"/>
        </w:rPr>
      </w:pPr>
    </w:p>
    <w:p>
      <w:pPr>
        <w:ind w:right="80"/>
        <w:spacing w:after="0" w:line="262" w:lineRule="auto"/>
        <w:rPr>
          <w:sz w:val="20"/>
          <w:szCs w:val="20"/>
          <w:color w:val="auto"/>
        </w:rPr>
      </w:pPr>
      <w:r>
        <w:rPr>
          <w:rFonts w:ascii="Arial" w:cs="Arial" w:eastAsia="Arial" w:hAnsi="Arial"/>
          <w:sz w:val="11"/>
          <w:szCs w:val="11"/>
          <w:color w:val="auto"/>
        </w:rPr>
        <w:t>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1280"/>
          </w:cols>
          <w:pgMar w:left="300" w:top="1103" w:right="319" w:bottom="1440" w:gutter="0" w:footer="0" w:header="0"/>
        </w:sectPr>
      </w:pPr>
    </w:p>
    <w:bookmarkStart w:id="7" w:name="page8"/>
    <w:bookmarkEnd w:id="7"/>
    <w:p>
      <w:pPr>
        <w:ind w:left="8"/>
        <w:spacing w:after="0"/>
        <w:rPr>
          <w:sz w:val="20"/>
          <w:szCs w:val="20"/>
          <w:color w:val="auto"/>
        </w:rPr>
      </w:pPr>
      <w:r>
        <w:rPr>
          <w:rFonts w:ascii="Arial" w:cs="Arial" w:eastAsia="Arial" w:hAnsi="Arial"/>
          <w:sz w:val="11"/>
          <w:szCs w:val="11"/>
          <w:b w:val="1"/>
          <w:bCs w:val="1"/>
          <w:color w:val="auto"/>
        </w:rPr>
        <w:t>Talen Contact Information</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Investor Relations</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Sergio Castro</w:t>
      </w:r>
    </w:p>
    <w:p>
      <w:pPr>
        <w:ind w:left="8"/>
        <w:spacing w:after="0"/>
        <w:rPr>
          <w:sz w:val="20"/>
          <w:szCs w:val="20"/>
          <w:color w:val="auto"/>
        </w:rPr>
      </w:pPr>
      <w:r>
        <w:rPr>
          <w:rFonts w:ascii="Arial" w:cs="Arial" w:eastAsia="Arial" w:hAnsi="Arial"/>
          <w:sz w:val="11"/>
          <w:szCs w:val="11"/>
          <w:color w:val="auto"/>
        </w:rPr>
        <w:t>Vice President &amp; Treasurer</w:t>
      </w:r>
    </w:p>
    <w:p>
      <w:pPr>
        <w:ind w:left="8" w:right="8439" w:hanging="8"/>
        <w:spacing w:after="0" w:line="260" w:lineRule="auto"/>
        <w:tabs>
          <w:tab w:leader="none" w:pos="290"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203-5315 </w:t>
      </w:r>
      <w:r>
        <w:rPr>
          <w:rFonts w:ascii="Arial" w:cs="Arial" w:eastAsia="Arial" w:hAnsi="Arial"/>
          <w:sz w:val="10"/>
          <w:szCs w:val="10"/>
          <w:u w:val="single" w:color="auto"/>
          <w:color w:val="0E32E1"/>
        </w:rPr>
        <w:t>InvestorRelations@talenenergy.com</w:t>
      </w:r>
    </w:p>
    <w:p>
      <w:pPr>
        <w:spacing w:after="0" w:line="2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Media Contact</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Taryne Williams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1"/>
          <w:szCs w:val="11"/>
          <w:color w:val="auto"/>
        </w:rPr>
        <w:t>Director, Corporate Communications</w:t>
      </w:r>
    </w:p>
    <w:p>
      <w:pPr>
        <w:spacing w:after="0" w:line="3"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0E32E1"/>
        </w:rPr>
        <w:t>Taryne.Williams@talenenergy.com</w:t>
      </w:r>
    </w:p>
    <w:p>
      <w:pPr>
        <w:spacing w:after="0" w:line="26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ECP Media Contact</w:t>
      </w:r>
    </w:p>
    <w:p>
      <w:pPr>
        <w:ind w:left="8"/>
        <w:spacing w:after="0" w:line="222" w:lineRule="auto"/>
        <w:rPr>
          <w:sz w:val="20"/>
          <w:szCs w:val="20"/>
          <w:color w:val="auto"/>
        </w:rPr>
      </w:pPr>
      <w:r>
        <w:rPr>
          <w:rFonts w:ascii="Arial" w:cs="Arial" w:eastAsia="Arial" w:hAnsi="Arial"/>
          <w:sz w:val="11"/>
          <w:szCs w:val="11"/>
          <w:color w:val="auto"/>
        </w:rPr>
        <w:t>FGS Global</w:t>
      </w:r>
    </w:p>
    <w:p>
      <w:pPr>
        <w:ind w:left="8"/>
        <w:spacing w:after="0"/>
        <w:rPr>
          <w:sz w:val="20"/>
          <w:szCs w:val="20"/>
          <w:color w:val="auto"/>
        </w:rPr>
      </w:pPr>
      <w:r>
        <w:rPr>
          <w:rFonts w:ascii="Arial" w:cs="Arial" w:eastAsia="Arial" w:hAnsi="Arial"/>
          <w:sz w:val="11"/>
          <w:szCs w:val="11"/>
          <w:color w:val="auto"/>
        </w:rPr>
        <w:t>Akash Lodh / Nick Rust</w:t>
      </w:r>
    </w:p>
    <w:p>
      <w:pPr>
        <w:ind w:left="8"/>
        <w:spacing w:after="0"/>
        <w:rPr>
          <w:sz w:val="20"/>
          <w:szCs w:val="20"/>
          <w:color w:val="auto"/>
        </w:rPr>
      </w:pPr>
      <w:r>
        <w:rPr>
          <w:rFonts w:ascii="Arial" w:cs="Arial" w:eastAsia="Arial" w:hAnsi="Arial"/>
          <w:sz w:val="11"/>
          <w:szCs w:val="11"/>
          <w:u w:val="single" w:color="auto"/>
          <w:color w:val="0E32E1"/>
        </w:rPr>
        <w:t>ECP@fgsglobal.com</w:t>
      </w:r>
    </w:p>
    <w:p>
      <w:pPr>
        <w:spacing w:after="0" w:line="200" w:lineRule="exact"/>
        <w:rPr>
          <w:sz w:val="20"/>
          <w:szCs w:val="20"/>
          <w:color w:val="auto"/>
        </w:rPr>
      </w:pPr>
    </w:p>
    <w:p>
      <w:pPr>
        <w:spacing w:after="0" w:line="240" w:lineRule="exact"/>
        <w:rPr>
          <w:sz w:val="20"/>
          <w:szCs w:val="20"/>
          <w:color w:val="auto"/>
        </w:rPr>
      </w:pPr>
    </w:p>
    <w:p>
      <w:pPr>
        <w:jc w:val="right"/>
        <w:ind w:right="4379"/>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0167"/>
          </w:cols>
          <w:pgMar w:left="292" w:top="1094" w:right="1440" w:bottom="144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2026-01-15T06:05:37Z</dcterms:created>
  <dcterms:modified xsi:type="dcterms:W3CDTF">2026-01-15T06:05:37Z</dcterms:modified>
</cp:coreProperties>
</file>