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180"/>
        <w:jc w:val="center"/>
        <w:rPr>
          <w:rFonts w:ascii="Arial;sans-serif" w:hAnsi="Arial;sans-serif"/>
          <w:b/>
          <w:color w:val="000000"/>
          <w:sz w:val="32"/>
        </w:rPr>
      </w:pPr>
      <w:r>
        <w:rPr>
          <w:rFonts w:ascii="Arial;sans-serif" w:hAnsi="Arial;sans-serif"/>
          <w:b/>
          <w:color w:val="000000"/>
          <w:sz w:val="32"/>
        </w:rPr>
        <w:t xml:space="preserve">UNITED STATES </w:t>
      </w:r>
    </w:p>
    <w:p>
      <w:pPr>
        <w:pStyle w:val="TextBody"/>
        <w:bidi w:val="0"/>
        <w:spacing w:lineRule="auto" w:line="288" w:before="0" w:after="0"/>
        <w:jc w:val="center"/>
        <w:rPr>
          <w:rFonts w:ascii="Arial;sans-serif" w:hAnsi="Arial;sans-serif"/>
          <w:b/>
          <w:color w:val="000000"/>
          <w:sz w:val="32"/>
        </w:rPr>
      </w:pPr>
      <w:r>
        <w:rPr>
          <w:rFonts w:ascii="Arial;sans-serif" w:hAnsi="Arial;sans-serif"/>
          <w:b/>
          <w:color w:val="000000"/>
          <w:sz w:val="32"/>
        </w:rPr>
        <w:t xml:space="preserve">SECURITIES AND EXCHANGE COMMISSION </w:t>
      </w:r>
    </w:p>
    <w:p>
      <w:pPr>
        <w:pStyle w:val="TextBody"/>
        <w:bidi w:val="0"/>
        <w:spacing w:lineRule="auto" w:line="288" w:before="0" w:after="180"/>
        <w:jc w:val="center"/>
        <w:rPr/>
      </w:pPr>
      <w:r>
        <w:rPr>
          <w:rFonts w:ascii="Arial;sans-serif" w:hAnsi="Arial;sans-serif"/>
          <w:b/>
          <w:color w:val="000000"/>
          <w:sz w:val="20"/>
        </w:rPr>
        <w:t>Washington, D.C. 20549</w:t>
      </w:r>
      <w:r>
        <w:rPr>
          <w:color w:val="000000"/>
        </w:rPr>
        <w:t xml:space="preserve">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30"/>
              <w:jc w:val="left"/>
              <w:rPr/>
            </w:pPr>
            <w:r>
              <w:rPr/>
            </w:r>
          </w:p>
        </w:tc>
      </w:tr>
    </w:tbl>
    <w:p>
      <w:pPr>
        <w:pStyle w:val="TextBody"/>
        <w:bidi w:val="0"/>
        <w:spacing w:lineRule="auto" w:line="288" w:before="0" w:after="0"/>
        <w:jc w:val="center"/>
        <w:rPr>
          <w:rFonts w:ascii="Arial;sans-serif" w:hAnsi="Arial;sans-serif"/>
          <w:b/>
          <w:color w:val="000000"/>
          <w:sz w:val="32"/>
        </w:rPr>
      </w:pPr>
      <w:r>
        <w:rPr>
          <w:rFonts w:ascii="Arial;sans-serif" w:hAnsi="Arial;sans-serif"/>
          <w:b/>
          <w:color w:val="000000"/>
          <w:sz w:val="32"/>
        </w:rPr>
        <w:t>FORM 8-K</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30"/>
              <w:jc w:val="left"/>
              <w:rPr/>
            </w:pPr>
            <w:r>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center"/>
        <w:rPr>
          <w:rFonts w:ascii="Arial;sans-serif" w:hAnsi="Arial;sans-serif"/>
          <w:b/>
          <w:color w:val="000000"/>
          <w:sz w:val="18"/>
        </w:rPr>
      </w:pPr>
      <w:r>
        <w:rPr>
          <w:rFonts w:ascii="Arial;sans-serif" w:hAnsi="Arial;sans-serif"/>
          <w:b/>
          <w:color w:val="000000"/>
          <w:sz w:val="18"/>
        </w:rPr>
        <w:t>CURRENT REPORT</w:t>
      </w:r>
    </w:p>
    <w:p>
      <w:pPr>
        <w:pStyle w:val="TextBody"/>
        <w:bidi w:val="0"/>
        <w:spacing w:lineRule="auto" w:line="288" w:before="0" w:after="180"/>
        <w:jc w:val="center"/>
        <w:rPr>
          <w:rFonts w:ascii="Arial;sans-serif" w:hAnsi="Arial;sans-serif"/>
          <w:b/>
          <w:color w:val="000000"/>
          <w:sz w:val="18"/>
        </w:rPr>
      </w:pPr>
      <w:r>
        <w:rPr>
          <w:rFonts w:ascii="Arial;sans-serif" w:hAnsi="Arial;sans-serif"/>
          <w:b/>
          <w:color w:val="000000"/>
          <w:sz w:val="18"/>
        </w:rPr>
        <w:t>Pursuant to Section 13 or 15(d) of The Securities Exchange Act of 1934</w:t>
      </w:r>
    </w:p>
    <w:p>
      <w:pPr>
        <w:pStyle w:val="TextBody"/>
        <w:bidi w:val="0"/>
        <w:spacing w:lineRule="auto" w:line="288" w:before="0" w:after="180"/>
        <w:jc w:val="center"/>
        <w:rPr/>
      </w:pPr>
      <w:r>
        <w:rPr>
          <w:rFonts w:ascii="Arial;sans-serif" w:hAnsi="Arial;sans-serif"/>
          <w:b w:val="false"/>
          <w:color w:val="000000"/>
          <w:sz w:val="18"/>
        </w:rPr>
        <w:t xml:space="preserve">Date of Report (date of earliest event reported): </w:t>
      </w:r>
      <w:r>
        <w:rPr>
          <w:rFonts w:ascii="Arial;sans-serif" w:hAnsi="Arial;sans-serif"/>
          <w:b/>
          <w:color w:val="000000"/>
          <w:sz w:val="18"/>
        </w:rPr>
        <w:t>August 7, 2025</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30"/>
              <w:jc w:val="left"/>
              <w:rPr/>
            </w:pPr>
            <w:r>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Arial;sans-serif" w:hAnsi="Arial;sans-serif"/>
          <w:b/>
          <w:color w:val="000000"/>
          <w:sz w:val="32"/>
        </w:rPr>
      </w:pPr>
      <w:r>
        <w:rPr>
          <w:rFonts w:ascii="Arial;sans-serif" w:hAnsi="Arial;sans-serif"/>
          <w:b/>
          <w:color w:val="000000"/>
          <w:sz w:val="32"/>
        </w:rPr>
        <w:t>Talen Energy Corporation</w:t>
      </w:r>
    </w:p>
    <w:p>
      <w:pPr>
        <w:pStyle w:val="TextBody"/>
        <w:bidi w:val="0"/>
        <w:spacing w:lineRule="auto" w:line="288" w:before="0" w:after="60"/>
        <w:jc w:val="center"/>
        <w:rPr>
          <w:rFonts w:ascii="Arial;sans-serif" w:hAnsi="Arial;sans-serif"/>
          <w:b w:val="false"/>
          <w:color w:val="000000"/>
          <w:sz w:val="18"/>
        </w:rPr>
      </w:pPr>
      <w:r>
        <w:rPr>
          <w:rFonts w:ascii="Arial;sans-serif" w:hAnsi="Arial;sans-serif"/>
          <w:b w:val="false"/>
          <w:color w:val="000000"/>
          <w:sz w:val="18"/>
        </w:rPr>
        <w:t xml:space="preserve">(Exact name of registrant as specified in its charter) </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30"/>
              <w:jc w:val="left"/>
              <w:rPr/>
            </w:pPr>
            <w:r>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7057" w:type="dxa"/>
        <w:jc w:val="center"/>
        <w:tblInd w:w="0" w:type="dxa"/>
        <w:tblLayout w:type="fixed"/>
        <w:tblCellMar>
          <w:top w:w="28" w:type="dxa"/>
          <w:left w:w="28" w:type="dxa"/>
          <w:bottom w:w="28" w:type="dxa"/>
          <w:right w:w="28" w:type="dxa"/>
        </w:tblCellMar>
      </w:tblPr>
      <w:tblGrid>
        <w:gridCol w:w="916"/>
        <w:gridCol w:w="804"/>
        <w:gridCol w:w="815"/>
        <w:gridCol w:w="109"/>
        <w:gridCol w:w="109"/>
        <w:gridCol w:w="109"/>
        <w:gridCol w:w="762"/>
        <w:gridCol w:w="762"/>
        <w:gridCol w:w="770"/>
        <w:gridCol w:w="109"/>
        <w:gridCol w:w="109"/>
        <w:gridCol w:w="109"/>
        <w:gridCol w:w="459"/>
        <w:gridCol w:w="459"/>
        <w:gridCol w:w="656"/>
      </w:tblGrid>
      <w:tr>
        <w:trPr/>
        <w:tc>
          <w:tcPr>
            <w:tcW w:w="916"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r>
      <w:tr>
        <w:trPr/>
        <w:tc>
          <w:tcPr>
            <w:tcW w:w="253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001-37388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47-1197305</w:t>
            </w:r>
          </w:p>
        </w:tc>
      </w:tr>
      <w:tr>
        <w:trPr/>
        <w:tc>
          <w:tcPr>
            <w:tcW w:w="25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(State or other jurisdiction of</w:t>
            </w:r>
          </w:p>
          <w:p>
            <w:pPr>
              <w:pStyle w:val="TableContents"/>
              <w:bidi w:val="0"/>
              <w:spacing w:lineRule="auto" w:line="288" w:before="0" w:after="180"/>
              <w:jc w:val="center"/>
              <w:rPr>
                <w:rFonts w:ascii="Arial;sans-serif" w:hAnsi="Arial;sans-serif"/>
                <w:b w:val="false"/>
                <w:color w:val="000000"/>
                <w:sz w:val="18"/>
              </w:rPr>
            </w:pPr>
            <w:r>
              <w:rPr>
                <w:rFonts w:ascii="Arial;sans-serif" w:hAnsi="Arial;sans-serif"/>
                <w:b w:val="false"/>
                <w:color w:val="000000"/>
                <w:sz w:val="18"/>
              </w:rP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(Commission 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(IRS Employer</w:t>
            </w:r>
          </w:p>
          <w:p>
            <w:pPr>
              <w:pStyle w:val="TableContents"/>
              <w:bidi w:val="0"/>
              <w:spacing w:lineRule="auto" w:line="288" w:before="0" w:after="180"/>
              <w:jc w:val="center"/>
              <w:rPr>
                <w:rFonts w:ascii="Arial;sans-serif" w:hAnsi="Arial;sans-serif"/>
                <w:b w:val="false"/>
                <w:color w:val="000000"/>
                <w:sz w:val="18"/>
              </w:rPr>
            </w:pPr>
            <w:r>
              <w:rPr>
                <w:rFonts w:ascii="Arial;sans-serif" w:hAnsi="Arial;sans-serif"/>
                <w:b w:val="false"/>
                <w:color w:val="000000"/>
                <w:sz w:val="18"/>
              </w:rPr>
              <w:t>Identification No.)</w:t>
            </w:r>
          </w:p>
        </w:tc>
      </w:tr>
    </w:tbl>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2929 Allen Pkwy, Suite 2200</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Houston, TX 77019</w:t>
      </w:r>
    </w:p>
    <w:p>
      <w:pPr>
        <w:pStyle w:val="TextBody"/>
        <w:bidi w:val="0"/>
        <w:spacing w:lineRule="auto" w:line="288" w:before="0" w:after="180"/>
        <w:jc w:val="center"/>
        <w:rPr>
          <w:rFonts w:ascii="Arial;sans-serif" w:hAnsi="Arial;sans-serif"/>
          <w:b w:val="false"/>
          <w:color w:val="000000"/>
          <w:sz w:val="18"/>
        </w:rPr>
      </w:pPr>
      <w:r>
        <w:rPr>
          <w:rFonts w:ascii="Arial;sans-serif" w:hAnsi="Arial;sans-serif"/>
          <w:b w:val="false"/>
          <w:color w:val="000000"/>
          <w:sz w:val="18"/>
        </w:rPr>
        <w:t>(Address of principal executive offices) (Zip Code)</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 xml:space="preserve">(888) 211-6011 </w:t>
      </w:r>
    </w:p>
    <w:p>
      <w:pPr>
        <w:pStyle w:val="TextBody"/>
        <w:bidi w:val="0"/>
        <w:spacing w:lineRule="auto" w:line="288" w:before="0" w:after="180"/>
        <w:jc w:val="center"/>
        <w:rPr/>
      </w:pPr>
      <w:r>
        <w:rPr>
          <w:rFonts w:ascii="Arial;sans-serif" w:hAnsi="Arial;sans-serif"/>
          <w:b w:val="false"/>
          <w:color w:val="000000"/>
          <w:sz w:val="18"/>
        </w:rPr>
        <w:t>(Registrant’s telephone number, including area code)</w:t>
      </w:r>
      <w:r>
        <w:rPr>
          <w:color w:val="000000"/>
        </w:rPr>
        <w:t xml:space="preserve"> </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 xml:space="preserve">Not applicable </w:t>
      </w:r>
    </w:p>
    <w:p>
      <w:pPr>
        <w:pStyle w:val="TextBody"/>
        <w:bidi w:val="0"/>
        <w:spacing w:lineRule="auto" w:line="288" w:before="0" w:after="120"/>
        <w:jc w:val="center"/>
        <w:rPr>
          <w:rFonts w:ascii="Arial;sans-serif" w:hAnsi="Arial;sans-serif"/>
          <w:b w:val="false"/>
          <w:color w:val="000000"/>
          <w:sz w:val="18"/>
        </w:rPr>
      </w:pPr>
      <w:r>
        <w:rPr>
          <w:rFonts w:ascii="Arial;sans-serif" w:hAnsi="Arial;sans-serif"/>
          <w:b w:val="false"/>
          <w:color w:val="000000"/>
          <w:sz w:val="18"/>
        </w:rPr>
        <w:t>(Former name, former address and former fiscal year, if changed since last report)</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30"/>
              <w:jc w:val="left"/>
              <w:rPr/>
            </w:pPr>
            <w:r>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0" w:after="120"/>
        <w:jc w:val="left"/>
        <w:rPr>
          <w:rFonts w:ascii="Arial;sans-serif" w:hAnsi="Arial;sans-serif"/>
          <w:b w:val="false"/>
          <w:color w:val="000000"/>
          <w:sz w:val="18"/>
        </w:rPr>
      </w:pPr>
      <w:r>
        <w:rPr>
          <w:rFonts w:ascii="Arial;sans-serif" w:hAnsi="Arial;sans-serif"/>
          <w:b w:val="false"/>
          <w:color w:val="000000"/>
          <w:sz w:val="18"/>
        </w:rPr>
        <w:t>Check the appropriate box below if the Form 8-K filing is intended to simultaneously satisfy the filing obligation of the registrant under any of the following provisions:</w:t>
      </w:r>
    </w:p>
    <w:tbl>
      <w:tblPr>
        <w:tblW w:w="9566" w:type="dxa"/>
        <w:jc w:val="left"/>
        <w:tblInd w:w="0" w:type="dxa"/>
        <w:tblLayout w:type="fixed"/>
        <w:tblCellMar>
          <w:top w:w="28" w:type="dxa"/>
          <w:left w:w="28" w:type="dxa"/>
          <w:bottom w:w="28" w:type="dxa"/>
          <w:right w:w="28" w:type="dxa"/>
        </w:tblCellMar>
      </w:tblPr>
      <w:tblGrid>
        <w:gridCol w:w="124"/>
        <w:gridCol w:w="109"/>
        <w:gridCol w:w="109"/>
        <w:gridCol w:w="2700"/>
        <w:gridCol w:w="2700"/>
        <w:gridCol w:w="382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0" w:type="dxa"/>
            <w:tcBorders/>
            <w:vAlign w:val="center"/>
          </w:tcPr>
          <w:p>
            <w:pPr>
              <w:pStyle w:val="TableContents"/>
              <w:bidi w:val="0"/>
              <w:spacing w:before="0" w:after="283"/>
              <w:jc w:val="left"/>
              <w:rPr>
                <w:sz w:val="4"/>
                <w:szCs w:val="4"/>
              </w:rPr>
            </w:pPr>
            <w:r>
              <w:rPr>
                <w:sz w:val="4"/>
                <w:szCs w:val="4"/>
              </w:rPr>
            </w:r>
          </w:p>
        </w:tc>
        <w:tc>
          <w:tcPr>
            <w:tcW w:w="2700" w:type="dxa"/>
            <w:tcBorders/>
            <w:vAlign w:val="center"/>
          </w:tcPr>
          <w:p>
            <w:pPr>
              <w:pStyle w:val="TableContents"/>
              <w:bidi w:val="0"/>
              <w:spacing w:before="0" w:after="283"/>
              <w:jc w:val="left"/>
              <w:rPr>
                <w:sz w:val="4"/>
                <w:szCs w:val="4"/>
              </w:rPr>
            </w:pPr>
            <w:r>
              <w:rPr>
                <w:sz w:val="4"/>
                <w:szCs w:val="4"/>
              </w:rPr>
            </w:r>
          </w:p>
        </w:tc>
        <w:tc>
          <w:tcPr>
            <w:tcW w:w="382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2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2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2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2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Pre-commencement communications pursuant to Rule 13e-4(c) under the Exchange Act (17 CFR 240.13e-4(c))</w:t>
            </w:r>
          </w:p>
        </w:tc>
      </w:tr>
    </w:tbl>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 xml:space="preserve">Securities registered pursuant to Section 12(b) of the Act: </w:t>
      </w:r>
    </w:p>
    <w:tbl>
      <w:tblPr>
        <w:tblW w:w="9982" w:type="dxa"/>
        <w:jc w:val="center"/>
        <w:tblInd w:w="0" w:type="dxa"/>
        <w:tblLayout w:type="fixed"/>
        <w:tblCellMar>
          <w:top w:w="28" w:type="dxa"/>
          <w:left w:w="28" w:type="dxa"/>
          <w:bottom w:w="28" w:type="dxa"/>
          <w:right w:w="28" w:type="dxa"/>
        </w:tblCellMar>
      </w:tblPr>
      <w:tblGrid>
        <w:gridCol w:w="1313"/>
        <w:gridCol w:w="1153"/>
        <w:gridCol w:w="1164"/>
        <w:gridCol w:w="109"/>
        <w:gridCol w:w="109"/>
        <w:gridCol w:w="109"/>
        <w:gridCol w:w="554"/>
        <w:gridCol w:w="554"/>
        <w:gridCol w:w="556"/>
        <w:gridCol w:w="109"/>
        <w:gridCol w:w="109"/>
        <w:gridCol w:w="109"/>
        <w:gridCol w:w="831"/>
        <w:gridCol w:w="831"/>
        <w:gridCol w:w="2372"/>
      </w:tblGrid>
      <w:tr>
        <w:trPr/>
        <w:tc>
          <w:tcPr>
            <w:tcW w:w="1313" w:type="dxa"/>
            <w:tcBorders/>
            <w:vAlign w:val="center"/>
          </w:tcPr>
          <w:p>
            <w:pPr>
              <w:pStyle w:val="TableContents"/>
              <w:bidi w:val="0"/>
              <w:spacing w:before="0" w:after="283"/>
              <w:jc w:val="left"/>
              <w:rPr>
                <w:sz w:val="4"/>
                <w:szCs w:val="4"/>
              </w:rPr>
            </w:pPr>
            <w:r>
              <w:rPr>
                <w:sz w:val="4"/>
                <w:szCs w:val="4"/>
              </w:rPr>
            </w:r>
          </w:p>
        </w:tc>
        <w:tc>
          <w:tcPr>
            <w:tcW w:w="1153" w:type="dxa"/>
            <w:tcBorders/>
            <w:vAlign w:val="center"/>
          </w:tcPr>
          <w:p>
            <w:pPr>
              <w:pStyle w:val="TableContents"/>
              <w:bidi w:val="0"/>
              <w:spacing w:before="0" w:after="283"/>
              <w:jc w:val="left"/>
              <w:rPr>
                <w:sz w:val="4"/>
                <w:szCs w:val="4"/>
              </w:rPr>
            </w:pPr>
            <w:r>
              <w:rPr>
                <w:sz w:val="4"/>
                <w:szCs w:val="4"/>
              </w:rPr>
            </w:r>
          </w:p>
        </w:tc>
        <w:tc>
          <w:tcPr>
            <w:tcW w:w="1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2372" w:type="dxa"/>
            <w:tcBorders/>
            <w:vAlign w:val="center"/>
          </w:tcPr>
          <w:p>
            <w:pPr>
              <w:pStyle w:val="TableContents"/>
              <w:bidi w:val="0"/>
              <w:spacing w:before="0" w:after="283"/>
              <w:ind w:left="0" w:right="0" w:firstLine="180"/>
              <w:jc w:val="left"/>
              <w:rPr>
                <w:sz w:val="4"/>
                <w:szCs w:val="4"/>
              </w:rPr>
            </w:pPr>
            <w:r>
              <w:rPr>
                <w:sz w:val="4"/>
                <w:szCs w:val="4"/>
              </w:rPr>
            </w:r>
          </w:p>
        </w:tc>
      </w:tr>
      <w:tr>
        <w:trPr/>
        <w:tc>
          <w:tcPr>
            <w:tcW w:w="363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 xml:space="preserve">Title of each class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cMar>
              <w:top w:w="0" w:type="dxa"/>
              <w:left w:w="0" w:type="dxa"/>
              <w:bottom w:w="0" w:type="dxa"/>
              <w:right w:w="0" w:type="dxa"/>
            </w:tcMar>
            <w:vAlign w:val="center"/>
          </w:tcPr>
          <w:p>
            <w:pPr>
              <w:pStyle w:val="TableContents"/>
              <w:bidi w:val="0"/>
              <w:spacing w:lineRule="auto" w:line="288" w:before="0" w:after="180"/>
              <w:jc w:val="center"/>
              <w:rPr>
                <w:rFonts w:ascii="Arial;sans-serif" w:hAnsi="Arial;sans-serif"/>
                <w:b/>
                <w:color w:val="000000"/>
                <w:sz w:val="18"/>
              </w:rPr>
            </w:pPr>
            <w:r>
              <w:rPr>
                <w:rFonts w:ascii="Arial;sans-serif" w:hAnsi="Arial;sans-serif"/>
                <w:b/>
                <w:color w:val="000000"/>
                <w:sz w:val="18"/>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4" w:type="dxa"/>
            <w:gridSpan w:val="3"/>
            <w:tcBorders/>
            <w:tcMar>
              <w:top w:w="0" w:type="dxa"/>
              <w:left w:w="0" w:type="dxa"/>
              <w:bottom w:w="0" w:type="dxa"/>
              <w:right w:w="0" w:type="dxa"/>
            </w:tcMar>
            <w:vAlign w:val="center"/>
          </w:tcPr>
          <w:p>
            <w:pPr>
              <w:pStyle w:val="TableContents"/>
              <w:bidi w:val="0"/>
              <w:spacing w:lineRule="auto" w:line="288" w:before="0" w:after="180"/>
              <w:ind w:left="0" w:right="0" w:firstLine="90"/>
              <w:jc w:val="center"/>
              <w:rPr>
                <w:rFonts w:ascii="Arial;sans-serif" w:hAnsi="Arial;sans-serif"/>
                <w:b/>
                <w:color w:val="000000"/>
                <w:sz w:val="18"/>
              </w:rPr>
            </w:pPr>
            <w:r>
              <w:rPr>
                <w:rFonts w:ascii="Arial;sans-serif" w:hAnsi="Arial;sans-serif"/>
                <w:b/>
                <w:color w:val="000000"/>
                <w:sz w:val="18"/>
              </w:rPr>
              <w:t>Name of each exchange on which registered</w:t>
            </w:r>
          </w:p>
        </w:tc>
      </w:tr>
      <w:tr>
        <w:trPr/>
        <w:tc>
          <w:tcPr>
            <w:tcW w:w="36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Common stock, par value $0.001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TLN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The Nasdaq Global Select Market</w:t>
            </w:r>
          </w:p>
        </w:tc>
      </w:tr>
    </w:tbl>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Indicate by check mark whether the registrant is an emerging growth company as defined in Rule 405 of the Securities Act of 1933 (17 CFR§230.405) or Rule 12b-2 of the Securities Exchange Act of 1934 (17 CFR §240.12b-2).</w:t>
      </w:r>
    </w:p>
    <w:p>
      <w:pPr>
        <w:pStyle w:val="TextBody"/>
        <w:bidi w:val="0"/>
        <w:spacing w:lineRule="auto" w:line="288" w:before="0" w:after="180"/>
        <w:jc w:val="left"/>
        <w:rPr/>
      </w:pPr>
      <w:r>
        <w:rPr>
          <w:rFonts w:ascii="Arial;sans-serif" w:hAnsi="Arial;sans-serif"/>
          <w:b w:val="false"/>
          <w:color w:val="000000"/>
          <w:sz w:val="18"/>
        </w:rPr>
        <w:t xml:space="preserve">Emerging growth company </w:t>
      </w:r>
      <w:r>
        <w:rPr>
          <w:color w:val="000000"/>
        </w:rPr>
        <w:t xml:space="preserve">☐ </w:t>
      </w:r>
    </w:p>
    <w:p>
      <w:pPr>
        <w:pStyle w:val="TextBody"/>
        <w:bidi w:val="0"/>
        <w:spacing w:lineRule="auto" w:line="288" w:before="0" w:after="180"/>
        <w:jc w:val="left"/>
        <w:rPr/>
      </w:pPr>
      <w:r>
        <w:rPr>
          <w:rFonts w:ascii="Arial;sans-serif" w:hAnsi="Arial;sans-serif"/>
          <w:b w:val="false"/>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w:t>
      </w:r>
      <w:r>
        <w:rPr>
          <w:color w:val="000000"/>
        </w:rPr>
        <w:t xml:space="preserve"> ☐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8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left"/>
        <w:rPr>
          <w:rFonts w:ascii="Arial;sans-serif" w:hAnsi="Arial;sans-serif"/>
          <w:b/>
          <w:color w:val="000000"/>
          <w:sz w:val="18"/>
        </w:rPr>
      </w:pPr>
      <w:r>
        <w:rPr>
          <w:rFonts w:ascii="Arial;sans-serif" w:hAnsi="Arial;sans-serif"/>
          <w:b/>
          <w:color w:val="000000"/>
          <w:sz w:val="18"/>
        </w:rPr>
        <w:t>Item 2.02. Results of Operations and Financial Condition.</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On August 7, 2025, Talen Energy Corporation (“Talen”) announced via press release its second quarter 2025 financial and operating results. A copy of the earnings release is furnished as Exhibit 99.1 to this Current Report on Form 8-K (this “Report”).</w:t>
      </w:r>
    </w:p>
    <w:p>
      <w:pPr>
        <w:pStyle w:val="TextBody"/>
        <w:bidi w:val="0"/>
        <w:spacing w:lineRule="auto" w:line="288" w:before="0" w:after="180"/>
        <w:jc w:val="left"/>
        <w:rPr>
          <w:rFonts w:ascii="Arial;sans-serif" w:hAnsi="Arial;sans-serif"/>
          <w:b w:val="false"/>
          <w:color w:val="000000"/>
          <w:sz w:val="18"/>
          <w:shd w:fill="FFFFFF" w:val="clear"/>
        </w:rPr>
      </w:pPr>
      <w:r>
        <w:rPr>
          <w:rFonts w:ascii="Arial;sans-serif" w:hAnsi="Arial;sans-serif"/>
          <w:b w:val="false"/>
          <w:color w:val="000000"/>
          <w:sz w:val="18"/>
          <w:shd w:fill="FFFFFF" w:val="clear"/>
        </w:rPr>
        <w:t>The information provided under this Item 2.02 and in Exhibit 99.1 to this Report is being furnished and shall not be deemed “filed” for the purpose of Section 18 of the Securities Exchange Act of 1934, as amended (the “Exchange Act”), or otherwise subject to the liabilities of that Section. The information under this Item 2.02 and in Exhibit 99.1 to this Report shall not be incorporated by reference into any registration statement or other document pursuant to the Securities Act of 1933, as amended, or the Exchange Act.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18"/>
        </w:rPr>
      </w:pPr>
      <w:r>
        <w:rPr>
          <w:rFonts w:ascii="Arial;sans-serif" w:hAnsi="Arial;sans-serif"/>
          <w:b/>
          <w:color w:val="000000"/>
          <w:sz w:val="18"/>
        </w:rPr>
        <w:t>Item 9.01. Financial Statements and Exhibits.</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(d) Exhibits:</w:t>
      </w:r>
    </w:p>
    <w:tbl>
      <w:tblPr>
        <w:tblW w:w="9495" w:type="dxa"/>
        <w:jc w:val="left"/>
        <w:tblInd w:w="0" w:type="dxa"/>
        <w:tblLayout w:type="fixed"/>
        <w:tblCellMar>
          <w:top w:w="28" w:type="dxa"/>
          <w:left w:w="28" w:type="dxa"/>
          <w:bottom w:w="28" w:type="dxa"/>
          <w:right w:w="28" w:type="dxa"/>
        </w:tblCellMar>
      </w:tblPr>
      <w:tblGrid>
        <w:gridCol w:w="374"/>
        <w:gridCol w:w="330"/>
        <w:gridCol w:w="331"/>
        <w:gridCol w:w="2477"/>
        <w:gridCol w:w="2477"/>
        <w:gridCol w:w="3506"/>
      </w:tblGrid>
      <w:tr>
        <w:trPr/>
        <w:tc>
          <w:tcPr>
            <w:tcW w:w="374"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2477" w:type="dxa"/>
            <w:tcBorders/>
            <w:vAlign w:val="center"/>
          </w:tcPr>
          <w:p>
            <w:pPr>
              <w:pStyle w:val="TableContents"/>
              <w:bidi w:val="0"/>
              <w:spacing w:before="0" w:after="283"/>
              <w:jc w:val="left"/>
              <w:rPr>
                <w:sz w:val="4"/>
                <w:szCs w:val="4"/>
              </w:rPr>
            </w:pPr>
            <w:r>
              <w:rPr>
                <w:sz w:val="4"/>
                <w:szCs w:val="4"/>
              </w:rPr>
            </w:r>
          </w:p>
        </w:tc>
        <w:tc>
          <w:tcPr>
            <w:tcW w:w="2477" w:type="dxa"/>
            <w:tcBorders/>
            <w:vAlign w:val="center"/>
          </w:tcPr>
          <w:p>
            <w:pPr>
              <w:pStyle w:val="TableContents"/>
              <w:bidi w:val="0"/>
              <w:spacing w:before="0" w:after="283"/>
              <w:jc w:val="left"/>
              <w:rPr>
                <w:sz w:val="4"/>
                <w:szCs w:val="4"/>
              </w:rPr>
            </w:pPr>
            <w:r>
              <w:rPr>
                <w:sz w:val="4"/>
                <w:szCs w:val="4"/>
              </w:rPr>
            </w:r>
          </w:p>
        </w:tc>
        <w:tc>
          <w:tcPr>
            <w:tcW w:w="3506" w:type="dxa"/>
            <w:tcBorders/>
            <w:vAlign w:val="center"/>
          </w:tcPr>
          <w:p>
            <w:pPr>
              <w:pStyle w:val="TableContents"/>
              <w:bidi w:val="0"/>
              <w:spacing w:before="0" w:after="283"/>
              <w:jc w:val="left"/>
              <w:rPr>
                <w:sz w:val="4"/>
                <w:szCs w:val="4"/>
              </w:rPr>
            </w:pPr>
            <w:r>
              <w:rPr>
                <w:sz w:val="4"/>
                <w:szCs w:val="4"/>
              </w:rPr>
            </w:r>
          </w:p>
        </w:tc>
      </w:tr>
      <w:tr>
        <w:trPr/>
        <w:tc>
          <w:tcPr>
            <w:tcW w:w="103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color w:val="000000"/>
                <w:sz w:val="18"/>
              </w:rPr>
            </w:pPr>
            <w:r>
              <w:rPr>
                <w:rFonts w:ascii="Arial;sans-serif" w:hAnsi="Arial;sans-serif"/>
                <w:b/>
                <w:color w:val="000000"/>
                <w:sz w:val="18"/>
              </w:rPr>
              <w:t>Exhibit No.</w:t>
            </w:r>
          </w:p>
        </w:tc>
        <w:tc>
          <w:tcPr>
            <w:tcW w:w="846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color w:val="000000"/>
                <w:sz w:val="18"/>
              </w:rPr>
            </w:pPr>
            <w:r>
              <w:rPr>
                <w:rFonts w:ascii="Arial;sans-serif" w:hAnsi="Arial;sans-serif"/>
                <w:b/>
                <w:color w:val="000000"/>
                <w:sz w:val="18"/>
              </w:rPr>
              <w:t>Description</w:t>
            </w:r>
          </w:p>
        </w:tc>
      </w:tr>
      <w:tr>
        <w:trPr/>
        <w:tc>
          <w:tcPr>
            <w:tcW w:w="103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8"/>
              </w:rPr>
            </w:pPr>
            <w:r>
              <w:rPr>
                <w:rFonts w:ascii="Arial;sans-serif" w:hAnsi="Arial;sans-serif"/>
                <w:b w:val="false"/>
                <w:color w:val="000000"/>
                <w:sz w:val="18"/>
              </w:rPr>
              <w:t>99.1</w:t>
            </w:r>
          </w:p>
        </w:tc>
        <w:tc>
          <w:tcPr>
            <w:tcW w:w="846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20250807q22025earningsrel.htm">
              <w:r>
                <w:rPr>
                  <w:rStyle w:val="InternetLink"/>
                  <w:rFonts w:ascii="Arial;sans-serif" w:hAnsi="Arial;sans-serif"/>
                  <w:b w:val="false"/>
                  <w:color w:val="000080"/>
                  <w:sz w:val="18"/>
                  <w:u w:val="single"/>
                </w:rPr>
                <w:t xml:space="preserve">Press Release dated August </w:t>
              </w:r>
            </w:hyperlink>
            <w:hyperlink w:anchor="a20250807q22025earningsrel.htm">
              <w:r>
                <w:rPr>
                  <w:rStyle w:val="InternetLink"/>
                  <w:rFonts w:ascii="Arial;sans-serif" w:hAnsi="Arial;sans-serif"/>
                  <w:b w:val="false"/>
                  <w:color w:val="000080"/>
                  <w:sz w:val="18"/>
                  <w:u w:val="single"/>
                </w:rPr>
                <w:t>7, 2025.</w:t>
              </w:r>
            </w:hyperlink>
          </w:p>
        </w:tc>
      </w:tr>
      <w:tr>
        <w:trPr/>
        <w:tc>
          <w:tcPr>
            <w:tcW w:w="103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8"/>
              </w:rPr>
            </w:pPr>
            <w:r>
              <w:rPr>
                <w:rFonts w:ascii="Arial;sans-serif" w:hAnsi="Arial;sans-serif"/>
                <w:b w:val="false"/>
                <w:color w:val="000000"/>
                <w:sz w:val="18"/>
              </w:rPr>
              <w:t>104</w:t>
            </w:r>
          </w:p>
        </w:tc>
        <w:tc>
          <w:tcPr>
            <w:tcW w:w="846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8"/>
              </w:rPr>
            </w:pPr>
            <w:r>
              <w:rPr>
                <w:rFonts w:ascii="Arial;sans-serif" w:hAnsi="Arial;sans-serif"/>
                <w:b w:val="false"/>
                <w:color w:val="000000"/>
                <w:sz w:val="18"/>
              </w:rPr>
              <w:t>Cover Page Interactive Data File (cover page XBRL tags embedded within the Inline XBRL document).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31445"/>
                <wp:effectExtent l="0" t="0" r="0" b="0"/>
                <wp:wrapNone/>
                <wp:docPr id="2" name="Frame2"/>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180"/>
        <w:jc w:val="center"/>
        <w:rPr>
          <w:rFonts w:ascii="Arial;sans-serif" w:hAnsi="Arial;sans-serif"/>
          <w:b/>
          <w:color w:val="000000"/>
          <w:sz w:val="18"/>
        </w:rPr>
      </w:pPr>
      <w:r>
        <w:rPr>
          <w:rFonts w:ascii="Arial;sans-serif" w:hAnsi="Arial;sans-serif"/>
          <w:b/>
          <w:color w:val="000000"/>
          <w:sz w:val="18"/>
        </w:rPr>
        <w:t>SIGNATURES</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Pursuant to the requirements of the Securities Exchange Act of 1934, the registrant has duly caused this report to be signed on its behalf by the undersigned hereunto duly authorized.</w:t>
      </w:r>
    </w:p>
    <w:tbl>
      <w:tblPr>
        <w:tblW w:w="5457" w:type="dxa"/>
        <w:jc w:val="right"/>
        <w:tblInd w:w="0" w:type="dxa"/>
        <w:tblLayout w:type="fixed"/>
        <w:tblCellMar>
          <w:top w:w="28" w:type="dxa"/>
          <w:left w:w="28" w:type="dxa"/>
          <w:bottom w:w="28" w:type="dxa"/>
          <w:right w:w="28" w:type="dxa"/>
        </w:tblCellMar>
      </w:tblPr>
      <w:tblGrid>
        <w:gridCol w:w="201"/>
        <w:gridCol w:w="176"/>
        <w:gridCol w:w="178"/>
        <w:gridCol w:w="444"/>
        <w:gridCol w:w="444"/>
        <w:gridCol w:w="446"/>
        <w:gridCol w:w="214"/>
        <w:gridCol w:w="214"/>
        <w:gridCol w:w="216"/>
        <w:gridCol w:w="856"/>
        <w:gridCol w:w="856"/>
        <w:gridCol w:w="1212"/>
      </w:tblGrid>
      <w:tr>
        <w:trPr/>
        <w:tc>
          <w:tcPr>
            <w:tcW w:w="201"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212"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TALEN ENERGY CORPORATION</w:t>
            </w:r>
          </w:p>
        </w:tc>
      </w:tr>
      <w:tr>
        <w:trPr/>
        <w:tc>
          <w:tcPr>
            <w:tcW w:w="55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Date:</w:t>
            </w:r>
          </w:p>
        </w:tc>
        <w:tc>
          <w:tcPr>
            <w:tcW w:w="133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August 7, 2025</w:t>
            </w:r>
          </w:p>
        </w:tc>
        <w:tc>
          <w:tcPr>
            <w:tcW w:w="64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By:</w:t>
            </w:r>
          </w:p>
        </w:tc>
        <w:tc>
          <w:tcPr>
            <w:tcW w:w="29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000000"/>
                <w:sz w:val="18"/>
              </w:rPr>
            </w:pPr>
            <w:r>
              <w:rPr>
                <w:rFonts w:ascii="Arial;sans-serif" w:hAnsi="Arial;sans-serif"/>
                <w:b w:val="false"/>
                <w:i/>
                <w:color w:val="000000"/>
                <w:sz w:val="18"/>
              </w:rPr>
              <w:t>/s/ Terry L. Nutt</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Name:</w:t>
            </w:r>
          </w:p>
        </w:tc>
        <w:tc>
          <w:tcPr>
            <w:tcW w:w="292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Terry L. Nutt</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Title:</w:t>
            </w:r>
          </w:p>
        </w:tc>
        <w:tc>
          <w:tcPr>
            <w:tcW w:w="29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Chief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180"/>
        <w:jc w:val="right"/>
        <w:rPr>
          <w:rFonts w:ascii="Arial;sans-serif" w:hAnsi="Arial;sans-serif"/>
          <w:b w:val="false"/>
          <w:color w:val="000000"/>
          <w:sz w:val="18"/>
        </w:rPr>
      </w:pPr>
      <w:r>
        <w:rPr>
          <w:rFonts w:ascii="Arial;sans-serif" w:hAnsi="Arial;sans-serif"/>
          <w:b w:val="false"/>
          <w:color w:val="000000"/>
          <w:sz w:val="18"/>
        </w:rPr>
        <w:t>Exhibit 99.1</w:t>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31445"/>
                <wp:effectExtent l="0" t="0" r="0" b="0"/>
                <wp:wrapNone/>
                <wp:docPr id="3" name="Frame3"/>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18"/>
                              </w:rPr>
                            </w:pPr>
                            <w:r>
                              <w:rPr>
                                <w:rFonts w:ascii="Arial;sans-serif" w:hAnsi="Arial;sans-serif"/>
                                <w:b w:val="false"/>
                                <w:color w:val="000000"/>
                                <w:sz w:val="18"/>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434.95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18"/>
                        </w:rPr>
                      </w:pPr>
                      <w:r>
                        <w:rPr>
                          <w:rFonts w:ascii="Arial;sans-serif" w:hAnsi="Arial;sans-serif"/>
                          <w:b w:val="false"/>
                          <w:color w:val="000000"/>
                          <w:sz w:val="18"/>
                        </w:rPr>
                        <w:t>2</w:t>
                      </w:r>
                    </w:p>
                  </w:txbxContent>
                </v:textbox>
                <w10:wrap type="none"/>
              </v:rect>
            </w:pict>
          </mc:Fallback>
        </mc:AlternateContent>
      </w:r>
    </w:p>
    <w:p>
      <w:pPr>
        <w:pStyle w:val="TextBody"/>
        <w:bidi w:val="0"/>
        <w:spacing w:lineRule="auto" w:line="288" w:before="180" w:after="180"/>
        <w:jc w:val="center"/>
        <w:rPr>
          <w:rFonts w:ascii="Arial;sans-serif" w:hAnsi="Arial;sans-serif"/>
          <w:b/>
          <w:color w:val="000000"/>
          <w:sz w:val="18"/>
        </w:rPr>
      </w:pPr>
      <w:r>
        <w:rPr>
          <w:rFonts w:ascii="Arial;sans-serif" w:hAnsi="Arial;sans-serif"/>
          <w:b/>
          <w:color w:val="000000"/>
          <w:sz w:val="18"/>
        </w:rPr>
        <w:t>Talen Energy Reports Second Quarter 2025 Results, Reaffirms 2025 Guidance</w:t>
      </w:r>
    </w:p>
    <w:p>
      <w:pPr>
        <w:pStyle w:val="TextBody"/>
        <w:bidi w:val="0"/>
        <w:spacing w:lineRule="auto" w:line="288" w:before="0" w:after="180"/>
        <w:jc w:val="left"/>
        <w:rPr>
          <w:rFonts w:ascii="Arial;sans-serif" w:hAnsi="Arial;sans-serif"/>
          <w:b/>
          <w:color w:val="000000"/>
          <w:sz w:val="18"/>
        </w:rPr>
      </w:pPr>
      <w:r>
        <w:rPr>
          <w:rFonts w:ascii="Arial;sans-serif" w:hAnsi="Arial;sans-serif"/>
          <w:b/>
          <w:color w:val="000000"/>
          <w:sz w:val="18"/>
        </w:rPr>
        <w:t>Earnings Release Highlights</w:t>
      </w:r>
    </w:p>
    <w:p>
      <w:pPr>
        <w:pStyle w:val="TextBody"/>
        <w:bidi w:val="0"/>
        <w:spacing w:lineRule="auto" w:line="288" w:before="0" w:after="180"/>
        <w:ind w:left="0" w:right="0" w:hanging="360"/>
        <w:jc w:val="left"/>
        <w:rPr/>
      </w:pPr>
      <w:r>
        <w:rPr>
          <w:color w:val="000000"/>
        </w:rPr>
        <w:t>▪</w:t>
      </w:r>
      <w:r>
        <w:rPr>
          <w:rFonts w:ascii="Arial;sans-serif" w:hAnsi="Arial;sans-serif"/>
          <w:b w:val="false"/>
          <w:color w:val="000000"/>
          <w:sz w:val="18"/>
        </w:rPr>
        <w:t>Second quarter GAAP Net Income Attributable to Stockholders of $72 million.</w:t>
      </w:r>
    </w:p>
    <w:p>
      <w:pPr>
        <w:pStyle w:val="TextBody"/>
        <w:bidi w:val="0"/>
        <w:spacing w:lineRule="auto" w:line="288" w:before="0" w:after="180"/>
        <w:ind w:left="0" w:right="0" w:hanging="360"/>
        <w:jc w:val="left"/>
        <w:rPr/>
      </w:pPr>
      <w:r>
        <w:rPr>
          <w:color w:val="000000"/>
        </w:rPr>
        <w:t>▪</w:t>
      </w:r>
      <w:r>
        <w:rPr>
          <w:rFonts w:ascii="Arial;sans-serif" w:hAnsi="Arial;sans-serif"/>
          <w:b w:val="false"/>
          <w:color w:val="000000"/>
          <w:sz w:val="18"/>
        </w:rPr>
        <w:t>Second quarter Adjusted EBITDA of $90 million and Adjusted Free Cash Flow use of $(78) million.</w:t>
      </w:r>
    </w:p>
    <w:p>
      <w:pPr>
        <w:pStyle w:val="TextBody"/>
        <w:bidi w:val="0"/>
        <w:spacing w:lineRule="auto" w:line="288" w:before="0" w:after="180"/>
        <w:ind w:left="0" w:right="0" w:hanging="360"/>
        <w:jc w:val="left"/>
        <w:rPr/>
      </w:pPr>
      <w:r>
        <w:rPr>
          <w:color w:val="000000"/>
        </w:rPr>
        <w:t>▪</w:t>
      </w:r>
      <w:r>
        <w:rPr>
          <w:rFonts w:ascii="Arial;sans-serif" w:hAnsi="Arial;sans-serif"/>
          <w:b w:val="false"/>
          <w:color w:val="000000"/>
          <w:sz w:val="18"/>
        </w:rPr>
        <w:t>Reaffirming 2025 guidance.</w:t>
      </w:r>
    </w:p>
    <w:p>
      <w:pPr>
        <w:pStyle w:val="TextBody"/>
        <w:bidi w:val="0"/>
        <w:spacing w:lineRule="auto" w:line="288" w:before="0" w:after="180"/>
        <w:ind w:left="0" w:right="0" w:hanging="360"/>
        <w:jc w:val="left"/>
        <w:rPr/>
      </w:pPr>
      <w:r>
        <w:rPr>
          <w:color w:val="000000"/>
        </w:rPr>
        <w:t>▪</w:t>
      </w:r>
      <w:r>
        <w:rPr>
          <w:rFonts w:ascii="Arial;sans-serif" w:hAnsi="Arial;sans-serif"/>
          <w:b w:val="false"/>
          <w:color w:val="000000"/>
          <w:sz w:val="18"/>
        </w:rPr>
        <w:t>Expanded existing relationship with Amazon to provide additional energy to Amazon Web Services (“AWS”); provides flexibility to support power delivery to other Pennsylvania sites.</w:t>
      </w:r>
    </w:p>
    <w:p>
      <w:pPr>
        <w:pStyle w:val="TextBody"/>
        <w:bidi w:val="0"/>
        <w:spacing w:lineRule="auto" w:line="288" w:before="0" w:after="180"/>
        <w:ind w:left="0" w:right="0" w:hanging="360"/>
        <w:jc w:val="left"/>
        <w:rPr/>
      </w:pPr>
      <w:r>
        <w:rPr>
          <w:color w:val="000000"/>
        </w:rPr>
        <w:t>▪</w:t>
      </w:r>
      <w:r>
        <w:rPr>
          <w:rFonts w:ascii="Arial;sans-serif" w:hAnsi="Arial;sans-serif"/>
          <w:b w:val="false"/>
          <w:color w:val="000000"/>
          <w:sz w:val="18"/>
        </w:rPr>
        <w:t>Signed definitive agreements to acquire Caithness Energy’s Freedom Energy Center (“Freedom”) in Pennsylvania and Guernsey Power Station (“Guernsey”) in Ohio, both baseload combined-cycle gas-fired plants located within the PJM power market.</w:t>
      </w:r>
    </w:p>
    <w:p>
      <w:pPr>
        <w:pStyle w:val="TextBody"/>
        <w:bidi w:val="0"/>
        <w:spacing w:lineRule="auto" w:line="288" w:before="0" w:after="180"/>
        <w:ind w:left="0" w:right="0" w:hanging="360"/>
        <w:jc w:val="left"/>
        <w:rPr/>
      </w:pPr>
      <w:r>
        <w:rPr>
          <w:color w:val="000000"/>
        </w:rPr>
        <w:t>▪</w:t>
      </w:r>
      <w:r>
        <w:rPr>
          <w:rFonts w:ascii="Arial;sans-serif" w:hAnsi="Arial;sans-serif"/>
          <w:b w:val="false"/>
          <w:color w:val="000000"/>
          <w:sz w:val="18"/>
        </w:rPr>
        <w:t>Cleared 6,702 megawatts (“MWs”) in the 2026/2027 PJM Base Residual Auction (“BRA”) at $329.17 per megawatt-day (“MWd”) for the MAAC, PPL, and PSEG locational deliverability areas.</w:t>
      </w:r>
    </w:p>
    <w:p>
      <w:pPr>
        <w:pStyle w:val="TextBody"/>
        <w:bidi w:val="0"/>
        <w:spacing w:lineRule="auto" w:line="288" w:before="0" w:after="180"/>
        <w:jc w:val="left"/>
        <w:rPr/>
      </w:pPr>
      <w:r>
        <w:rPr>
          <w:rFonts w:ascii="Arial;sans-serif" w:hAnsi="Arial;sans-serif"/>
          <w:b/>
          <w:color w:val="000000"/>
          <w:sz w:val="18"/>
          <w:shd w:fill="FFFFFF" w:val="clear"/>
        </w:rPr>
        <w:t xml:space="preserve">HOUSTON, August 7, 2025 </w:t>
      </w:r>
      <w:r>
        <w:rPr>
          <w:color w:val="000000"/>
          <w:shd w:fill="FFFFFF" w:val="clear"/>
        </w:rPr>
        <w:t xml:space="preserve">– </w:t>
      </w:r>
      <w:r>
        <w:rPr>
          <w:rFonts w:ascii="Arial;sans-serif" w:hAnsi="Arial;sans-serif"/>
          <w:b w:val="false"/>
          <w:color w:val="000000"/>
          <w:sz w:val="18"/>
          <w:shd w:fill="FFFFFF" w:val="clear"/>
        </w:rPr>
        <w:t>Talen Energy Corporation (“Talen,” the “Compan</w:t>
      </w:r>
      <w:r>
        <w:rPr>
          <w:rFonts w:ascii="Arial;sans-serif" w:hAnsi="Arial;sans-serif"/>
          <w:b w:val="false"/>
          <w:color w:val="000000"/>
          <w:sz w:val="18"/>
        </w:rPr>
        <w:t>y,” “we,” or “our”) (</w:t>
      </w:r>
      <w:r>
        <w:rPr>
          <w:rFonts w:ascii="Arial;sans-serif" w:hAnsi="Arial;sans-serif"/>
          <w:b w:val="false"/>
          <w:color w:val="026DCE"/>
          <w:sz w:val="18"/>
          <w:u w:val="single"/>
        </w:rPr>
        <w:t>NASDAQ: TLN</w:t>
      </w:r>
      <w:r>
        <w:rPr>
          <w:rFonts w:ascii="Arial;sans-serif" w:hAnsi="Arial;sans-serif"/>
          <w:b w:val="false"/>
          <w:color w:val="000000"/>
          <w:sz w:val="18"/>
        </w:rPr>
        <w:t xml:space="preserve">), </w:t>
      </w:r>
      <w:r>
        <w:rPr>
          <w:rFonts w:ascii="Arial;sans-serif" w:hAnsi="Arial;sans-serif"/>
          <w:b w:val="false"/>
          <w:color w:val="000000"/>
          <w:sz w:val="18"/>
          <w:shd w:fill="FFFFFF" w:val="clear"/>
        </w:rPr>
        <w:t>a leading independent power producer, today reported its second quarter 2025 financial and operating results.</w:t>
      </w:r>
    </w:p>
    <w:p>
      <w:pPr>
        <w:pStyle w:val="TextBody"/>
        <w:bidi w:val="0"/>
        <w:spacing w:lineRule="auto" w:line="288" w:before="0" w:after="180"/>
        <w:jc w:val="left"/>
        <w:rPr>
          <w:color w:val="000000"/>
        </w:rPr>
      </w:pPr>
      <w:r>
        <w:rPr>
          <w:color w:val="000000"/>
        </w:rPr>
        <w:t>“</w:t>
      </w:r>
      <w:r>
        <w:rPr>
          <w:rFonts w:ascii="Arial;sans-serif" w:hAnsi="Arial;sans-serif"/>
          <w:b w:val="false"/>
          <w:color w:val="000000"/>
          <w:sz w:val="18"/>
        </w:rPr>
        <w:t>The Talen team continued to execute in the second quarter. We expanded our relationship with Amazon to 1.9 gigawatts (“GWs”) and announced the strategic acquisition of Freedom and Guernsey. This further enables Talen’s ability to offer reliable, grid-supported and regionally diverse capacity to hyperscale data centers and other large commercial off-takers. The Freedom and Guernsey acquisitions expand Talen’s fleet and are expected to unlock material value on day one,” said Talen President and Chief Executive Officer Mac McFarland.</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McFarland continued, “Today we are reporting Talen’s second quarter results, earning $90 million of Adjusted EBITDA and $(78) million of Adjusted Free Cash Flow, which reflects the extended Susquehanna outage. In June, we began earning RMR revenues under our commitment to support grid reliability in Maryland and higher capacity revenues with the start of the PJM 2025/2026 Capacity Year. We are reaffirming 2025 guidance. Please join us at our Investor Update on September 9 where we will discuss our 2026 guidance and 2027/2028 outlook.”</w:t>
      </w:r>
    </w:p>
    <w:p>
      <w:pPr>
        <w:pStyle w:val="TextBody"/>
        <w:bidi w:val="0"/>
        <w:spacing w:lineRule="auto" w:line="288" w:before="0" w:after="180"/>
        <w:jc w:val="left"/>
        <w:rPr>
          <w:rFonts w:ascii="Arial;sans-serif" w:hAnsi="Arial;sans-serif"/>
          <w:b/>
          <w:color w:val="000000"/>
          <w:sz w:val="18"/>
        </w:rPr>
      </w:pPr>
      <w:r>
        <w:rPr>
          <w:rFonts w:ascii="Arial;sans-serif" w:hAnsi="Arial;sans-serif"/>
          <w:b/>
          <w:color w:val="000000"/>
          <w:sz w:val="18"/>
        </w:rPr>
        <w:t>Summary of Financial and Operating Results (Unaudited)</w:t>
      </w:r>
    </w:p>
    <w:tbl>
      <w:tblPr>
        <w:tblW w:w="9421" w:type="dxa"/>
        <w:jc w:val="left"/>
        <w:tblInd w:w="0" w:type="dxa"/>
        <w:tblLayout w:type="fixed"/>
        <w:tblCellMar>
          <w:top w:w="28" w:type="dxa"/>
          <w:left w:w="28" w:type="dxa"/>
          <w:bottom w:w="28" w:type="dxa"/>
          <w:right w:w="28" w:type="dxa"/>
        </w:tblCellMar>
      </w:tblPr>
      <w:tblGrid>
        <w:gridCol w:w="1457"/>
        <w:gridCol w:w="1278"/>
        <w:gridCol w:w="1285"/>
        <w:gridCol w:w="109"/>
        <w:gridCol w:w="109"/>
        <w:gridCol w:w="109"/>
        <w:gridCol w:w="285"/>
        <w:gridCol w:w="482"/>
        <w:gridCol w:w="158"/>
        <w:gridCol w:w="158"/>
        <w:gridCol w:w="158"/>
        <w:gridCol w:w="158"/>
        <w:gridCol w:w="285"/>
        <w:gridCol w:w="613"/>
        <w:gridCol w:w="158"/>
        <w:gridCol w:w="109"/>
        <w:gridCol w:w="109"/>
        <w:gridCol w:w="109"/>
        <w:gridCol w:w="248"/>
        <w:gridCol w:w="515"/>
        <w:gridCol w:w="138"/>
        <w:gridCol w:w="138"/>
        <w:gridCol w:w="138"/>
        <w:gridCol w:w="138"/>
        <w:gridCol w:w="248"/>
        <w:gridCol w:w="534"/>
        <w:gridCol w:w="195"/>
      </w:tblGrid>
      <w:tr>
        <w:trPr/>
        <w:tc>
          <w:tcPr>
            <w:tcW w:w="1457" w:type="dxa"/>
            <w:tcBorders/>
            <w:vAlign w:val="center"/>
          </w:tcPr>
          <w:p>
            <w:pPr>
              <w:pStyle w:val="TableContents"/>
              <w:bidi w:val="0"/>
              <w:spacing w:before="0" w:after="283"/>
              <w:jc w:val="left"/>
              <w:rPr>
                <w:sz w:val="4"/>
                <w:szCs w:val="4"/>
              </w:rPr>
            </w:pPr>
            <w:r>
              <w:rPr>
                <w:sz w:val="4"/>
                <w:szCs w:val="4"/>
              </w:rPr>
            </w:r>
          </w:p>
        </w:tc>
        <w:tc>
          <w:tcPr>
            <w:tcW w:w="1278" w:type="dxa"/>
            <w:tcBorders/>
            <w:vAlign w:val="center"/>
          </w:tcPr>
          <w:p>
            <w:pPr>
              <w:pStyle w:val="TableContents"/>
              <w:bidi w:val="0"/>
              <w:spacing w:before="0" w:after="283"/>
              <w:jc w:val="left"/>
              <w:rPr>
                <w:sz w:val="4"/>
                <w:szCs w:val="4"/>
              </w:rPr>
            </w:pPr>
            <w:r>
              <w:rPr>
                <w:sz w:val="4"/>
                <w:szCs w:val="4"/>
              </w:rPr>
            </w:r>
          </w:p>
        </w:tc>
        <w:tc>
          <w:tcPr>
            <w:tcW w:w="12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r>
      <w:tr>
        <w:trPr/>
        <w:tc>
          <w:tcPr>
            <w:tcW w:w="4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June 30,</w:t>
            </w:r>
          </w:p>
        </w:tc>
      </w:tr>
      <w:tr>
        <w:trPr/>
        <w:tc>
          <w:tcPr>
            <w:tcW w:w="40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(Millions of Dollars Unless Otherwise Stated)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4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4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r>
      <w:tr>
        <w:trPr/>
        <w:tc>
          <w:tcPr>
            <w:tcW w:w="4020" w:type="dxa"/>
            <w:gridSpan w:val="3"/>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GAAP Net Income (Loss) Attributable to Stockholders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82"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72 </w:t>
            </w:r>
          </w:p>
        </w:tc>
        <w:tc>
          <w:tcPr>
            <w:tcW w:w="158"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13"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454 </w:t>
            </w:r>
          </w:p>
        </w:tc>
        <w:tc>
          <w:tcPr>
            <w:tcW w:w="158"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15"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(63)</w:t>
            </w:r>
          </w:p>
        </w:tc>
        <w:tc>
          <w:tcPr>
            <w:tcW w:w="138"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34"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748 </w:t>
            </w:r>
          </w:p>
        </w:tc>
        <w:tc>
          <w:tcPr>
            <w:tcW w:w="195"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Adjusted EBITDA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90 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87 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290 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376</w:t>
            </w:r>
          </w:p>
        </w:tc>
      </w:tr>
      <w:tr>
        <w:trPr/>
        <w:tc>
          <w:tcPr>
            <w:tcW w:w="4020"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Adjusted Free Cash Flow</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(78)</w:t>
            </w:r>
          </w:p>
        </w:tc>
        <w:tc>
          <w:tcPr>
            <w:tcW w:w="158"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w:t>
            </w:r>
          </w:p>
        </w:tc>
        <w:tc>
          <w:tcPr>
            <w:tcW w:w="158"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9 </w:t>
            </w:r>
          </w:p>
        </w:tc>
        <w:tc>
          <w:tcPr>
            <w:tcW w:w="138"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165</w:t>
            </w:r>
          </w:p>
        </w:tc>
      </w:tr>
      <w:tr>
        <w:trPr/>
        <w:tc>
          <w:tcPr>
            <w:tcW w:w="40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Total Generation (TWh) </w:t>
            </w:r>
            <w:r>
              <w:rPr>
                <w:rFonts w:ascii="Arial;sans-serif" w:hAnsi="Arial;sans-serif"/>
                <w:b w:val="false"/>
                <w:color w:val="000000"/>
                <w:sz w:val="10"/>
              </w:rPr>
              <w:t>(a)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7.3</w:t>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17.0</w:t>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16.3</w:t>
            </w:r>
          </w:p>
        </w:tc>
      </w:tr>
      <w:tr>
        <w:trPr/>
        <w:tc>
          <w:tcPr>
            <w:tcW w:w="4020" w:type="dxa"/>
            <w:gridSpan w:val="3"/>
            <w:tcBorders/>
            <w:shd w:fill="E1E1E2"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Carbon-Free Generation</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w:t>
            </w:r>
          </w:p>
        </w:tc>
        <w:tc>
          <w:tcPr>
            <w:tcW w:w="474"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w:t>
            </w:r>
          </w:p>
        </w:tc>
        <w:tc>
          <w:tcPr>
            <w:tcW w:w="414"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w:t>
            </w:r>
          </w:p>
        </w:tc>
      </w:tr>
      <w:tr>
        <w:trPr/>
        <w:tc>
          <w:tcPr>
            <w:tcW w:w="40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OSHA TRIR </w:t>
            </w:r>
            <w:r>
              <w:rPr>
                <w:rFonts w:ascii="Arial;sans-serif" w:hAnsi="Arial;sans-serif"/>
                <w:b w:val="false"/>
                <w:color w:val="000000"/>
                <w:sz w:val="10"/>
              </w:rPr>
              <w:t>(b)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0.7</w:t>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0.6</w:t>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0.3</w:t>
            </w:r>
          </w:p>
        </w:tc>
      </w:tr>
      <w:tr>
        <w:trPr/>
        <w:tc>
          <w:tcPr>
            <w:tcW w:w="4020" w:type="dxa"/>
            <w:gridSpan w:val="3"/>
            <w:tcBorders>
              <w:bottom w:val="single" w:sz="8" w:space="0" w:color="000000"/>
            </w:tcBorders>
            <w:shd w:fill="E1E1E2" w:val="clear"/>
            <w:tcMar>
              <w:top w:w="0" w:type="dxa"/>
              <w:left w:w="0" w:type="dxa"/>
              <w:bottom w:w="3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Fleet EFOF </w:t>
            </w:r>
            <w:r>
              <w:rPr>
                <w:rFonts w:ascii="Arial;sans-serif" w:hAnsi="Arial;sans-serif"/>
                <w:b w:val="false"/>
                <w:color w:val="000000"/>
                <w:sz w:val="10"/>
              </w:rPr>
              <w:t>(c)</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3"/>
            <w:tcBorders>
              <w:bottom w:val="single" w:sz="8" w:space="0" w:color="000000"/>
            </w:tcBorders>
            <w:shd w:fill="E1E1E2"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w:t>
            </w:r>
          </w:p>
        </w:tc>
        <w:tc>
          <w:tcPr>
            <w:tcW w:w="474"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bottom w:val="single" w:sz="8" w:space="0" w:color="000000"/>
            </w:tcBorders>
            <w:shd w:fill="E1E1E2"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bottom w:val="single" w:sz="8" w:space="0" w:color="000000"/>
            </w:tcBorders>
            <w:shd w:fill="E1E1E2"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w:t>
            </w:r>
          </w:p>
        </w:tc>
        <w:tc>
          <w:tcPr>
            <w:tcW w:w="414"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bottom w:val="single" w:sz="8" w:space="0" w:color="000000"/>
            </w:tcBorders>
            <w:shd w:fill="E1E1E2"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w:t>
            </w:r>
          </w:p>
        </w:tc>
      </w:tr>
    </w:tbl>
    <w:p>
      <w:pPr>
        <w:pStyle w:val="TextBody"/>
        <w:bidi w:val="0"/>
        <w:spacing w:lineRule="auto" w:line="288" w:before="0" w:after="0"/>
        <w:ind w:left="0" w:right="0" w:hanging="360"/>
        <w:jc w:val="left"/>
        <w:rPr>
          <w:rFonts w:ascii="Arial;sans-serif" w:hAnsi="Arial;sans-serif"/>
          <w:b w:val="false"/>
          <w:color w:val="000000"/>
          <w:sz w:val="14"/>
        </w:rPr>
      </w:pPr>
      <w:r>
        <w:rPr>
          <w:rFonts w:ascii="Arial;sans-serif" w:hAnsi="Arial;sans-serif"/>
          <w:b w:val="false"/>
          <w:color w:val="000000"/>
          <w:sz w:val="14"/>
        </w:rPr>
        <w:t>__________________</w:t>
      </w:r>
    </w:p>
    <w:p>
      <w:pPr>
        <w:pStyle w:val="TextBody"/>
        <w:bidi w:val="0"/>
        <w:spacing w:lineRule="auto" w:line="288" w:before="0" w:after="0"/>
        <w:ind w:left="0" w:right="0" w:hanging="360"/>
        <w:jc w:val="left"/>
        <w:rPr>
          <w:rFonts w:ascii="Arial;sans-serif" w:hAnsi="Arial;sans-serif"/>
          <w:b w:val="false"/>
          <w:color w:val="000000"/>
          <w:sz w:val="14"/>
        </w:rPr>
      </w:pPr>
      <w:r>
        <w:rPr>
          <w:rFonts w:ascii="Arial;sans-serif" w:hAnsi="Arial;sans-serif"/>
          <w:b w:val="false"/>
          <w:color w:val="000000"/>
          <w:sz w:val="14"/>
        </w:rPr>
        <w:t>(a)Total generation is, where applicable, net of station use consumption and inclusive of volumes produced by Susquehanna generation and from ERCOT assets.</w:t>
      </w:r>
    </w:p>
    <w:p>
      <w:pPr>
        <w:pStyle w:val="TextBody"/>
        <w:bidi w:val="0"/>
        <w:spacing w:lineRule="auto" w:line="288" w:before="0" w:after="0"/>
        <w:ind w:left="0" w:right="0" w:hanging="360"/>
        <w:jc w:val="left"/>
        <w:rPr>
          <w:rFonts w:ascii="Arial;sans-serif" w:hAnsi="Arial;sans-serif"/>
          <w:b w:val="false"/>
          <w:color w:val="000000"/>
          <w:sz w:val="14"/>
        </w:rPr>
      </w:pPr>
      <w:r>
        <w:rPr>
          <w:rFonts w:ascii="Arial;sans-serif" w:hAnsi="Arial;sans-serif"/>
          <w:b w:val="false"/>
          <w:color w:val="000000"/>
          <w:sz w:val="14"/>
        </w:rPr>
        <w:t>(b)OSHA Total Recordable Incident Rate (“OSHA TRIR”) is the number of recordable incidents x 200,000 / total number of manhours worked. Only includes Talen-operated generation facilities (i.e., excludes Conemaugh and Keystone).</w:t>
      </w:r>
    </w:p>
    <w:p>
      <w:pPr>
        <w:pStyle w:val="TextBody"/>
        <w:bidi w:val="0"/>
        <w:spacing w:lineRule="auto" w:line="288" w:before="0" w:after="0"/>
        <w:ind w:left="0" w:right="0" w:hanging="360"/>
        <w:jc w:val="left"/>
        <w:rPr>
          <w:rFonts w:ascii="Arial;sans-serif" w:hAnsi="Arial;sans-serif"/>
          <w:b w:val="false"/>
          <w:color w:val="000000"/>
          <w:sz w:val="14"/>
        </w:rPr>
      </w:pPr>
      <w:r>
        <w:rPr>
          <w:rFonts w:ascii="Arial;sans-serif" w:hAnsi="Arial;sans-serif"/>
          <w:b w:val="false"/>
          <w:color w:val="000000"/>
          <w:sz w:val="14"/>
        </w:rPr>
        <w:t>(c)Fleet Equivalent Forced Outage Factor (“Fleet EFOF”) is the percentage of a given period in which a generating unit is not available due to forced outages and forced de-rates. Represents all generation facilities, including our portion of partially-owned facilities.</w:t>
      </w:r>
    </w:p>
    <w:p>
      <w:pPr>
        <w:pStyle w:val="TextBody"/>
        <w:bidi w:val="0"/>
        <w:ind w:left="0" w:right="0" w:hanging="360"/>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31445"/>
                <wp:effectExtent l="0" t="0" r="0" b="0"/>
                <wp:wrapNone/>
                <wp:docPr id="4" name="Frame4"/>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18"/>
                              </w:rPr>
                            </w:pPr>
                            <w:r>
                              <w:rPr>
                                <w:rFonts w:ascii="Arial;sans-serif" w:hAnsi="Arial;sans-serif"/>
                                <w:b w:val="false"/>
                                <w:color w:val="000000"/>
                                <w:sz w:val="18"/>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18"/>
                        </w:rPr>
                      </w:pPr>
                      <w:r>
                        <w:rPr>
                          <w:rFonts w:ascii="Arial;sans-serif" w:hAnsi="Arial;sans-serif"/>
                          <w:b w:val="false"/>
                          <w:color w:val="000000"/>
                          <w:sz w:val="18"/>
                        </w:rPr>
                        <w:t>1</w:t>
                      </w:r>
                    </w:p>
                  </w:txbxContent>
                </v:textbox>
                <w10:wrap type="none"/>
              </v:rect>
            </w:pict>
          </mc:Fallback>
        </mc:AlternateConten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 xml:space="preserve">For the quarter ended June 30, 2025, we reported GAAP Net Income Attributable to Stockholders of $72 million, Adjusted EBITDA of $90 million and Adjusted Free Cash Flow use of $(78) million. Compared with the quarter ended June 30, 2024: </w:t>
      </w:r>
    </w:p>
    <w:p>
      <w:pPr>
        <w:pStyle w:val="TextBody"/>
        <w:bidi w:val="0"/>
        <w:spacing w:lineRule="auto" w:line="288" w:before="0" w:after="180"/>
        <w:ind w:left="0" w:right="0" w:hanging="360"/>
        <w:jc w:val="left"/>
        <w:rPr/>
      </w:pPr>
      <w:r>
        <w:rPr>
          <w:color w:val="000000"/>
        </w:rPr>
        <w:t>▪</w:t>
      </w:r>
      <w:r>
        <w:rPr>
          <w:rFonts w:ascii="Arial;sans-serif" w:hAnsi="Arial;sans-serif"/>
          <w:b w:val="false"/>
          <w:color w:val="000000"/>
          <w:sz w:val="18"/>
        </w:rPr>
        <w:t>GAAP Net Income (Loss) Attributable to Stockholders decreased $(382) million primarily due to the absence of the gain and the associated tax expense from the sale of the ERCOT portfolio. Additionally, the current quarter included an increase in capacity revenues, partially offset by higher operation and maintenance expenses due to the extended Susquehanna refueling outage.</w:t>
      </w:r>
    </w:p>
    <w:p>
      <w:pPr>
        <w:pStyle w:val="TextBody"/>
        <w:bidi w:val="0"/>
        <w:spacing w:lineRule="auto" w:line="288" w:before="0" w:after="180"/>
        <w:ind w:left="0" w:right="0" w:hanging="360"/>
        <w:jc w:val="left"/>
        <w:rPr/>
      </w:pPr>
      <w:r>
        <w:rPr>
          <w:color w:val="000000"/>
        </w:rPr>
        <w:t>▪</w:t>
      </w:r>
      <w:r>
        <w:rPr>
          <w:rFonts w:ascii="Arial;sans-serif" w:hAnsi="Arial;sans-serif"/>
          <w:b w:val="false"/>
          <w:color w:val="000000"/>
          <w:sz w:val="18"/>
        </w:rPr>
        <w:t>Adjusted EBITDA increased $3 million primarily due to an increase in capacity revenues, partially offset by higher operation and maintenance expenses due to the extended Susquehanna refueling outage.</w:t>
      </w:r>
    </w:p>
    <w:p>
      <w:pPr>
        <w:pStyle w:val="TextBody"/>
        <w:bidi w:val="0"/>
        <w:spacing w:lineRule="auto" w:line="288" w:before="0" w:after="180"/>
        <w:ind w:left="0" w:right="0" w:hanging="360"/>
        <w:jc w:val="left"/>
        <w:rPr/>
      </w:pPr>
      <w:r>
        <w:rPr>
          <w:color w:val="000000"/>
        </w:rPr>
        <w:t>▪</w:t>
      </w:r>
      <w:r>
        <w:rPr>
          <w:rFonts w:ascii="Arial;sans-serif" w:hAnsi="Arial;sans-serif"/>
          <w:b w:val="false"/>
          <w:color w:val="000000"/>
          <w:sz w:val="18"/>
        </w:rPr>
        <w:t xml:space="preserve">Adjusted Free Cash Flow decreased $(49) million primarily due to higher cash income tax payments and capital expenditures associated with the extended Susquehanna refueling outage. </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See “Non-GAAP Financial Measures” for details and reconciliations of GAAP to non-GAAP financial measures.</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Our generation fleet continued to run reliably and safely, with a Fleet EFOF of 2.3% and an OSHA TRIR of 0.7. Total generation was 7.3 terawatt-hours (“TWh”), with 41% contributed from carbon-free nuclear generation at our Susquehanna nuclear facility.</w:t>
      </w:r>
    </w:p>
    <w:p>
      <w:pPr>
        <w:pStyle w:val="TextBody"/>
        <w:bidi w:val="0"/>
        <w:spacing w:lineRule="auto" w:line="288" w:before="0" w:after="180"/>
        <w:jc w:val="left"/>
        <w:rPr>
          <w:rFonts w:ascii="Arial;sans-serif" w:hAnsi="Arial;sans-serif"/>
          <w:b/>
          <w:color w:val="000000"/>
          <w:sz w:val="18"/>
        </w:rPr>
      </w:pPr>
      <w:r>
        <w:rPr>
          <w:rFonts w:ascii="Arial;sans-serif" w:hAnsi="Arial;sans-serif"/>
          <w:b/>
          <w:color w:val="000000"/>
          <w:sz w:val="18"/>
        </w:rPr>
        <w:t>Reaffirming 2025 Guidance</w:t>
      </w:r>
    </w:p>
    <w:tbl>
      <w:tblPr>
        <w:tblW w:w="3447" w:type="dxa"/>
        <w:jc w:val="left"/>
        <w:tblInd w:w="0" w:type="dxa"/>
        <w:tblLayout w:type="fixed"/>
        <w:tblCellMar>
          <w:top w:w="28" w:type="dxa"/>
          <w:left w:w="28" w:type="dxa"/>
          <w:bottom w:w="28" w:type="dxa"/>
          <w:right w:w="28" w:type="dxa"/>
        </w:tblCellMar>
      </w:tblPr>
      <w:tblGrid>
        <w:gridCol w:w="712"/>
        <w:gridCol w:w="624"/>
        <w:gridCol w:w="629"/>
        <w:gridCol w:w="109"/>
        <w:gridCol w:w="109"/>
        <w:gridCol w:w="109"/>
        <w:gridCol w:w="337"/>
        <w:gridCol w:w="337"/>
        <w:gridCol w:w="481"/>
      </w:tblGrid>
      <w:tr>
        <w:trPr/>
        <w:tc>
          <w:tcPr>
            <w:tcW w:w="712"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4"/>
              </w:rPr>
            </w:pPr>
            <w:r>
              <w:rPr>
                <w:rFonts w:ascii="Arial;sans-serif" w:hAnsi="Arial;sans-serif"/>
                <w:b/>
                <w:color w:val="000000"/>
                <w:sz w:val="14"/>
              </w:rPr>
              <w:t>(Millions of Dollars)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u w:val="single"/>
              </w:rPr>
            </w:pPr>
            <w:r>
              <w:rPr>
                <w:rFonts w:ascii="Arial;sans-serif" w:hAnsi="Arial;sans-serif"/>
                <w:b/>
                <w:color w:val="000000"/>
                <w:sz w:val="16"/>
                <w:u w:val="single"/>
              </w:rPr>
              <w:t>2025E</w:t>
            </w:r>
          </w:p>
        </w:tc>
      </w:tr>
      <w:tr>
        <w:trPr/>
        <w:tc>
          <w:tcPr>
            <w:tcW w:w="1965" w:type="dxa"/>
            <w:gridSpan w:val="3"/>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Adjusted EBITDA</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16"/>
              </w:rPr>
            </w:pPr>
            <w:r>
              <w:rPr>
                <w:rFonts w:ascii="Arial;sans-serif" w:hAnsi="Arial;sans-serif"/>
                <w:b w:val="false"/>
                <w:color w:val="000000"/>
                <w:sz w:val="16"/>
              </w:rPr>
              <w:t>$975 - $1,125</w:t>
            </w:r>
          </w:p>
        </w:tc>
      </w:tr>
      <w:tr>
        <w:trPr/>
        <w:tc>
          <w:tcPr>
            <w:tcW w:w="1965"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Adjusted Free Cash Flow</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0"/>
              <w:jc w:val="right"/>
              <w:rPr>
                <w:rFonts w:ascii="Arial;sans-serif" w:hAnsi="Arial;sans-serif"/>
                <w:b w:val="false"/>
                <w:color w:val="000000"/>
                <w:sz w:val="16"/>
              </w:rPr>
            </w:pPr>
            <w:r>
              <w:rPr>
                <w:rFonts w:ascii="Arial;sans-serif" w:hAnsi="Arial;sans-serif"/>
                <w:b w:val="false"/>
                <w:color w:val="000000"/>
                <w:sz w:val="16"/>
              </w:rPr>
              <w:t>$450 - $540</w:t>
            </w:r>
          </w:p>
        </w:tc>
      </w:tr>
    </w:tbl>
    <w:p>
      <w:pPr>
        <w:pStyle w:val="TextBody"/>
        <w:bidi w:val="0"/>
        <w:spacing w:lineRule="auto" w:line="288" w:before="0" w:after="180"/>
        <w:jc w:val="left"/>
        <w:rPr>
          <w:rFonts w:ascii="Arial;sans-serif" w:hAnsi="Arial;sans-serif"/>
          <w:b/>
          <w:color w:val="000000"/>
          <w:sz w:val="18"/>
        </w:rPr>
      </w:pPr>
      <w:r>
        <w:rPr>
          <w:rFonts w:ascii="Arial;sans-serif" w:hAnsi="Arial;sans-serif"/>
          <w:b/>
          <w:color w:val="000000"/>
          <w:sz w:val="18"/>
        </w:rPr>
        <w:t>Data Center Power Purchase Agreement</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Under the terms of a new power purchase agreement (“PPA”) with AWS entered into in June 2025, Talen will supply electricity to AWS for operations that support AI and other cloud technologies at AWS’ data center campus adjacent to Susquehanna, with the ability to deliver to other sites throughout Pennsylvania. Talen and AWS will also explore building new small modular reactors within Talen’s Pennsylvania footprint and pursue expanding the nuclear plant’s energy output through uprates, with the intent to add net-new energy to the PJM grid.</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Under the expanded PPA, at the full contract quantity, Talen expects to provide AWS with up to 1,920 MWs of “front-of-the-meter” power through 2042, with options to further extend its duration. The power delivery schedule will ramp over time, expected to achieve the full volume no later than 2032, with the potential to meaningfully accelerate and to allow AWS to elect alternative delivery points. This long-term transaction will significantly decrease Talen’s market risk and minimize its reliance on the Federal nuclear production tax credit.</w:t>
      </w:r>
    </w:p>
    <w:p>
      <w:pPr>
        <w:pStyle w:val="TextBody"/>
        <w:bidi w:val="0"/>
        <w:spacing w:lineRule="auto" w:line="288" w:before="0" w:after="180"/>
        <w:jc w:val="left"/>
        <w:rPr>
          <w:rFonts w:ascii="Arial;sans-serif" w:hAnsi="Arial;sans-serif"/>
          <w:b/>
          <w:color w:val="000000"/>
          <w:sz w:val="18"/>
        </w:rPr>
      </w:pPr>
      <w:r>
        <w:rPr>
          <w:rFonts w:ascii="Arial;sans-serif" w:hAnsi="Arial;sans-serif"/>
          <w:b/>
          <w:color w:val="000000"/>
          <w:sz w:val="18"/>
        </w:rPr>
        <w:t>Freedom and Guernsey Acquisitions</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On July 17, 2025, Talen entered into definitive agreements to acquire Freedom and Guernsey, both highly efficient combined-cycle gas-fired plants located within the PJM power market.</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The net acquisition price is $3.5 billion after adjusting for estimated tax benefits, or approximately $3.8 billion gross. The net purchase price reflects an attractive acquisition multiple of 6.7x 2026 EV/EBITDA for two of the most efficient natural gas plants in PJM, at a material discount to current new-build CCGT costs. The transaction is expected to be immediately accretive to free cash flow per share by over 40% in 2026, and over 50% from 2027 through 2029.</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Talen expects to issue approximately $3.8 billion in new debt to fund the acquisitions and refinance target debt, using both secured and unsecured instruments.</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The Freedom and Guernsey acquisitions are both expected to close in the fourth quarter 2025. Each acquisition is subject to the satisfaction of customary closing conditions, including the expiration or termination of the waiting period pursuant to the Hart-Scott-Rodino Antitrust Improvements Act of 1976 and regulatory approvals from the Federal Energy Regulatory Commission and other regulatory agencies. These regulatory filings have all been made and are now pending at the agencies.</w:t>
      </w:r>
    </w:p>
    <w:p>
      <w:pPr>
        <w:pStyle w:val="TextBody"/>
        <w:bidi w:val="0"/>
        <w:spacing w:before="0" w:after="0"/>
        <w:jc w:val="righ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31445"/>
                <wp:effectExtent l="0" t="0" r="0" b="0"/>
                <wp:wrapNone/>
                <wp:docPr id="5" name="Frame5"/>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18"/>
                              </w:rPr>
                            </w:pPr>
                            <w:r>
                              <w:rPr>
                                <w:rFonts w:ascii="Arial;sans-serif" w:hAnsi="Arial;sans-serif"/>
                                <w:b w:val="false"/>
                                <w:color w:val="000000"/>
                                <w:sz w:val="18"/>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18"/>
                        </w:rPr>
                      </w:pPr>
                      <w:r>
                        <w:rPr>
                          <w:rFonts w:ascii="Arial;sans-serif" w:hAnsi="Arial;sans-serif"/>
                          <w:b w:val="false"/>
                          <w:color w:val="000000"/>
                          <w:sz w:val="18"/>
                        </w:rPr>
                        <w:t>2</w:t>
                      </w:r>
                    </w:p>
                  </w:txbxContent>
                </v:textbox>
                <w10:wrap type="none"/>
              </v:rect>
            </w:pict>
          </mc:Fallback>
        </mc:AlternateContent>
      </w:r>
    </w:p>
    <w:p>
      <w:pPr>
        <w:pStyle w:val="TextBody"/>
        <w:bidi w:val="0"/>
        <w:spacing w:lineRule="auto" w:line="288" w:before="0" w:after="180"/>
        <w:jc w:val="left"/>
        <w:rPr>
          <w:rFonts w:ascii="Arial;sans-serif" w:hAnsi="Arial;sans-serif"/>
          <w:b/>
          <w:color w:val="000000"/>
          <w:sz w:val="18"/>
        </w:rPr>
      </w:pPr>
      <w:r>
        <w:rPr>
          <w:rFonts w:ascii="Arial;sans-serif" w:hAnsi="Arial;sans-serif"/>
          <w:b/>
          <w:color w:val="000000"/>
          <w:sz w:val="18"/>
        </w:rPr>
        <w:t>2026/2027 PJM Capacity Base Residual Auction</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The 2026/2027 PJM BRA was held in July. Talen cleared 6,702 MWs at a price of $329.17/MWd, equating to approximately $805 million in capacity revenues for the 2026/2027 PJM Capacity Year (excluding the potential impacts from the Freedom and Guernsey transactions). The 2027/2028 PJM BRA is scheduled for December 2025.</w:t>
      </w:r>
    </w:p>
    <w:p>
      <w:pPr>
        <w:pStyle w:val="TextBody"/>
        <w:bidi w:val="0"/>
        <w:spacing w:lineRule="auto" w:line="288" w:before="0" w:after="180"/>
        <w:jc w:val="left"/>
        <w:rPr>
          <w:rFonts w:ascii="Arial;sans-serif" w:hAnsi="Arial;sans-serif"/>
          <w:b/>
          <w:color w:val="000000"/>
          <w:sz w:val="18"/>
        </w:rPr>
      </w:pPr>
      <w:r>
        <w:rPr>
          <w:rFonts w:ascii="Arial;sans-serif" w:hAnsi="Arial;sans-serif"/>
          <w:b/>
          <w:color w:val="000000"/>
          <w:sz w:val="18"/>
        </w:rPr>
        <w:t>Index Inclusion</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During the second quarter 2025, Talen was added to various Russell indices. Since September 2024, Talen has been added to the S&amp;P Total Market Index, S&amp;P Completion Index, CRSP Total Market Index, CRSP Small Cap Index and MSCI USA Small Cap Index. Talen may qualify for additional value, growth, and / or sector-related indices, leading to further demand for our stock.</w:t>
      </w:r>
    </w:p>
    <w:p>
      <w:pPr>
        <w:pStyle w:val="TextBody"/>
        <w:bidi w:val="0"/>
        <w:spacing w:lineRule="auto" w:line="288" w:before="0" w:after="180"/>
        <w:jc w:val="left"/>
        <w:rPr>
          <w:rFonts w:ascii="Arial;sans-serif" w:hAnsi="Arial;sans-serif"/>
          <w:b/>
          <w:color w:val="000000"/>
          <w:sz w:val="18"/>
        </w:rPr>
      </w:pPr>
      <w:r>
        <w:rPr>
          <w:rFonts w:ascii="Arial;sans-serif" w:hAnsi="Arial;sans-serif"/>
          <w:b/>
          <w:color w:val="000000"/>
          <w:sz w:val="18"/>
        </w:rPr>
        <w:t>Balance Sheet and Liquidity</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We are committed to net leverage targets below 3.5x net debt-to-Adjusted EBITDA following the post-acquisition deleveraging period and intend to be below 3.5x net leverage by year-end 2026. As of August 4, 2025, we had ample total available liquidity of approximately $861 million, comprised of $161 million of unrestricted cash and $700 million of available capacity under the revolving credit facility. Our projected net leverage ratio, utilizing the 2025E Adjusted EBITDA midpoint and net debt balance as of August 4, 2025, is approximately 2.7x.</w:t>
      </w:r>
    </w:p>
    <w:p>
      <w:pPr>
        <w:pStyle w:val="TextBody"/>
        <w:bidi w:val="0"/>
        <w:spacing w:lineRule="auto" w:line="288" w:before="0" w:after="180"/>
        <w:jc w:val="left"/>
        <w:rPr>
          <w:rFonts w:ascii="Arial;sans-serif" w:hAnsi="Arial;sans-serif"/>
          <w:b/>
          <w:color w:val="000000"/>
          <w:sz w:val="18"/>
        </w:rPr>
      </w:pPr>
      <w:r>
        <w:rPr>
          <w:rFonts w:ascii="Arial;sans-serif" w:hAnsi="Arial;sans-serif"/>
          <w:b/>
          <w:color w:val="000000"/>
          <w:sz w:val="18"/>
        </w:rPr>
        <w:t>Update on Hedging Activities</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As of June 30, 2025, including the impact of the Nuclear PTC, we had hedged approximately 100% of our expected generation volumes for 2025, 66% for 2026 and 33% for 2027. The Company’s hedging program is a key component of our comprehensive risk policy and supports the objective of increasing cash flow stability while maintaining upside optionality.</w:t>
      </w:r>
    </w:p>
    <w:p>
      <w:pPr>
        <w:pStyle w:val="TextBody"/>
        <w:bidi w:val="0"/>
        <w:spacing w:lineRule="auto" w:line="288" w:before="0" w:after="180"/>
        <w:jc w:val="left"/>
        <w:rPr>
          <w:rFonts w:ascii="Arial;sans-serif" w:hAnsi="Arial;sans-serif"/>
          <w:b/>
          <w:color w:val="000000"/>
          <w:sz w:val="18"/>
        </w:rPr>
      </w:pPr>
      <w:r>
        <w:rPr>
          <w:rFonts w:ascii="Arial;sans-serif" w:hAnsi="Arial;sans-serif"/>
          <w:b/>
          <w:color w:val="000000"/>
          <w:sz w:val="18"/>
        </w:rPr>
        <w:t>Earnings Call</w:t>
      </w:r>
    </w:p>
    <w:p>
      <w:pPr>
        <w:pStyle w:val="TextBody"/>
        <w:bidi w:val="0"/>
        <w:spacing w:lineRule="auto" w:line="288" w:before="0" w:after="180"/>
        <w:jc w:val="left"/>
        <w:rPr/>
      </w:pPr>
      <w:r>
        <w:rPr>
          <w:rFonts w:ascii="Arial;sans-serif" w:hAnsi="Arial;sans-serif"/>
          <w:b w:val="false"/>
          <w:color w:val="000000"/>
          <w:sz w:val="18"/>
        </w:rPr>
        <w:t>The Company will hold an earnings call on Thursday, August 7, 2025, at 8:00 a.m. ET (7:00 a.m. CT). To participate in the call, please register for the webcast via the page lin</w:t>
      </w:r>
      <w:r>
        <w:rPr>
          <w:rFonts w:ascii="Arial;sans-serif" w:hAnsi="Arial;sans-serif"/>
          <w:b w:val="false"/>
          <w:color w:val="000000"/>
          <w:sz w:val="18"/>
          <w:shd w:fill="FFFFFF" w:val="clear"/>
        </w:rPr>
        <w:t xml:space="preserve">ked </w:t>
      </w:r>
      <w:r>
        <w:rPr>
          <w:rFonts w:ascii="Arial;sans-serif" w:hAnsi="Arial;sans-serif"/>
          <w:b w:val="false"/>
          <w:color w:val="026DCE"/>
          <w:sz w:val="18"/>
          <w:u w:val="single"/>
          <w:shd w:fill="FFFFFF" w:val="clear"/>
        </w:rPr>
        <w:t>here</w:t>
      </w:r>
      <w:r>
        <w:rPr>
          <w:rFonts w:ascii="Arial;sans-serif" w:hAnsi="Arial;sans-serif"/>
          <w:b w:val="false"/>
          <w:color w:val="000000"/>
          <w:sz w:val="18"/>
          <w:shd w:fill="FFFFFF" w:val="clear"/>
        </w:rPr>
        <w:t>. Pa</w:t>
      </w:r>
      <w:r>
        <w:rPr>
          <w:rFonts w:ascii="Arial;sans-serif" w:hAnsi="Arial;sans-serif"/>
          <w:b w:val="false"/>
          <w:color w:val="000000"/>
          <w:sz w:val="18"/>
        </w:rPr>
        <w:t>rticipants can join by phone by calling 1-646-968-2525 (New York) or 1-888-596-4144 (U.S. &amp; Canada) prior to the start of the call to receive access via the passcode 9029305. For those unable to participate in the live event, a digital replay will be archived for approximately one year and available on the Events page of Talen’s Investor Relations website lin</w:t>
      </w:r>
      <w:r>
        <w:rPr>
          <w:rFonts w:ascii="Arial;sans-serif" w:hAnsi="Arial;sans-serif"/>
          <w:b w:val="false"/>
          <w:color w:val="000000"/>
          <w:sz w:val="18"/>
          <w:shd w:fill="FFFFFF" w:val="clear"/>
        </w:rPr>
        <w:t xml:space="preserve">ked </w:t>
      </w:r>
      <w:r>
        <w:rPr>
          <w:rFonts w:ascii="Arial;sans-serif" w:hAnsi="Arial;sans-serif"/>
          <w:b w:val="false"/>
          <w:color w:val="026DCE"/>
          <w:sz w:val="18"/>
          <w:u w:val="single"/>
          <w:shd w:fill="FFFFFF" w:val="clear"/>
        </w:rPr>
        <w:t>here</w:t>
      </w:r>
      <w:r>
        <w:rPr>
          <w:rFonts w:ascii="Arial;sans-serif" w:hAnsi="Arial;sans-serif"/>
          <w:b w:val="false"/>
          <w:color w:val="000000"/>
          <w:sz w:val="18"/>
          <w:shd w:fill="FFFFFF" w:val="clear"/>
        </w:rPr>
        <w:t>.</w:t>
      </w:r>
    </w:p>
    <w:p>
      <w:pPr>
        <w:pStyle w:val="TextBody"/>
        <w:bidi w:val="0"/>
        <w:spacing w:lineRule="auto" w:line="288" w:before="0" w:after="180"/>
        <w:jc w:val="left"/>
        <w:rPr>
          <w:rFonts w:ascii="Arial;sans-serif" w:hAnsi="Arial;sans-serif"/>
          <w:b/>
          <w:color w:val="000000"/>
          <w:sz w:val="18"/>
        </w:rPr>
      </w:pPr>
      <w:r>
        <w:rPr>
          <w:rFonts w:ascii="Arial;sans-serif" w:hAnsi="Arial;sans-serif"/>
          <w:b/>
          <w:color w:val="000000"/>
          <w:sz w:val="18"/>
        </w:rPr>
        <w:t>About Talen</w:t>
      </w:r>
    </w:p>
    <w:p>
      <w:pPr>
        <w:pStyle w:val="TextBody"/>
        <w:bidi w:val="0"/>
        <w:spacing w:lineRule="auto" w:line="288" w:before="0" w:after="180"/>
        <w:jc w:val="left"/>
        <w:rPr/>
      </w:pPr>
      <w:r>
        <w:rPr>
          <w:rFonts w:ascii="Arial;sans-serif" w:hAnsi="Arial;sans-serif"/>
          <w:b w:val="false"/>
          <w:color w:val="000000"/>
          <w:sz w:val="18"/>
        </w:rPr>
        <w:t>Talen Energy (</w:t>
      </w:r>
      <w:r>
        <w:rPr>
          <w:rFonts w:ascii="Arial;sans-serif" w:hAnsi="Arial;sans-serif"/>
          <w:b w:val="false"/>
          <w:color w:val="026DCE"/>
          <w:sz w:val="18"/>
          <w:u w:val="single"/>
        </w:rPr>
        <w:t>NASDAQ: TLN</w:t>
      </w:r>
      <w:r>
        <w:rPr>
          <w:rFonts w:ascii="Arial;sans-serif" w:hAnsi="Arial;sans-serif"/>
          <w:b w:val="false"/>
          <w:color w:val="000000"/>
          <w:sz w:val="18"/>
        </w:rPr>
        <w:t xml:space="preserve">) is a leading independent power producer and energy infrastructure company dedicated to powering the future. We own and operate approximately 10.5 gigawatts of power infrastructure in the United States, including 2.2 gigawatts of nuclear power and a significant dispatchable fossil fleet. We produce and sell electricity, capacity, and ancillary services into wholesale U.S. power markets, with our generation fleet principally located in the Mid-Atlantic and Montana. Our team is committed to generating power safely and reliably delivering the most value per megawatt produced. Talen is also powering the digital infrastructure revolution. We are well-positioned to serve this growing industry, as artificial intelligence data centers increasingly demand more reliable, clean power. Talen is headquartered in Houston, Texas. For more information, visit </w:t>
      </w:r>
      <w:r>
        <w:rPr>
          <w:rFonts w:ascii="Arial;sans-serif" w:hAnsi="Arial;sans-serif"/>
          <w:b w:val="false"/>
          <w:color w:val="026DCE"/>
          <w:sz w:val="18"/>
          <w:u w:val="single"/>
        </w:rPr>
        <w:t>https://www.talenenergy.com/</w:t>
      </w:r>
      <w:r>
        <w:rPr>
          <w:rFonts w:ascii="Arial;sans-serif" w:hAnsi="Arial;sans-serif"/>
          <w:b w:val="false"/>
          <w:color w:val="000000"/>
          <w:sz w:val="18"/>
        </w:rPr>
        <w:t>.</w:t>
      </w:r>
    </w:p>
    <w:p>
      <w:pPr>
        <w:pStyle w:val="TextBody"/>
        <w:bidi w:val="0"/>
        <w:spacing w:lineRule="auto" w:line="288" w:before="0" w:after="180"/>
        <w:jc w:val="left"/>
        <w:rPr>
          <w:rFonts w:ascii="Arial;sans-serif" w:hAnsi="Arial;sans-serif"/>
          <w:b/>
          <w:color w:val="000000"/>
          <w:sz w:val="18"/>
        </w:rPr>
      </w:pPr>
      <w:r>
        <w:rPr>
          <w:rFonts w:ascii="Arial;sans-serif" w:hAnsi="Arial;sans-serif"/>
          <w:b/>
          <w:color w:val="000000"/>
          <w:sz w:val="18"/>
        </w:rPr>
        <w:t>Investor Relations:</w:t>
      </w:r>
    </w:p>
    <w:p>
      <w:pPr>
        <w:pStyle w:val="TextBody"/>
        <w:bidi w:val="0"/>
        <w:spacing w:lineRule="auto" w:line="288" w:before="0" w:after="40"/>
        <w:jc w:val="left"/>
        <w:rPr>
          <w:rFonts w:ascii="Arial;sans-serif" w:hAnsi="Arial;sans-serif"/>
          <w:b w:val="false"/>
          <w:color w:val="000000"/>
          <w:sz w:val="18"/>
        </w:rPr>
      </w:pPr>
      <w:r>
        <w:rPr>
          <w:rFonts w:ascii="Arial;sans-serif" w:hAnsi="Arial;sans-serif"/>
          <w:b w:val="false"/>
          <w:color w:val="000000"/>
          <w:sz w:val="18"/>
        </w:rPr>
        <w:t>Sergio Castro</w:t>
      </w:r>
    </w:p>
    <w:p>
      <w:pPr>
        <w:pStyle w:val="TextBody"/>
        <w:bidi w:val="0"/>
        <w:spacing w:lineRule="auto" w:line="288" w:before="0" w:after="40"/>
        <w:jc w:val="left"/>
        <w:rPr>
          <w:rFonts w:ascii="Arial;sans-serif" w:hAnsi="Arial;sans-serif"/>
          <w:b w:val="false"/>
          <w:color w:val="000000"/>
          <w:sz w:val="18"/>
        </w:rPr>
      </w:pPr>
      <w:r>
        <w:rPr>
          <w:rFonts w:ascii="Arial;sans-serif" w:hAnsi="Arial;sans-serif"/>
          <w:b w:val="false"/>
          <w:color w:val="000000"/>
          <w:sz w:val="18"/>
        </w:rPr>
        <w:t>Vice President &amp; Treasurer</w:t>
      </w:r>
    </w:p>
    <w:p>
      <w:pPr>
        <w:pStyle w:val="TextBody"/>
        <w:bidi w:val="0"/>
        <w:spacing w:lineRule="auto" w:line="288" w:before="0" w:after="180"/>
        <w:jc w:val="left"/>
        <w:rPr>
          <w:rFonts w:ascii="Arial;sans-serif" w:hAnsi="Arial;sans-serif"/>
          <w:b w:val="false"/>
          <w:color w:val="026DCE"/>
          <w:sz w:val="18"/>
          <w:u w:val="single"/>
        </w:rPr>
      </w:pPr>
      <w:r>
        <w:rPr>
          <w:rFonts w:ascii="Arial;sans-serif" w:hAnsi="Arial;sans-serif"/>
          <w:b w:val="false"/>
          <w:color w:val="026DCE"/>
          <w:sz w:val="18"/>
          <w:u w:val="single"/>
        </w:rPr>
        <w:t>InvestorRelations@talenenergy.com</w:t>
      </w:r>
    </w:p>
    <w:p>
      <w:pPr>
        <w:pStyle w:val="TextBody"/>
        <w:bidi w:val="0"/>
        <w:spacing w:lineRule="auto" w:line="288" w:before="0" w:after="180"/>
        <w:jc w:val="left"/>
        <w:rPr>
          <w:rFonts w:ascii="Arial;sans-serif" w:hAnsi="Arial;sans-serif"/>
          <w:b/>
          <w:color w:val="000000"/>
          <w:sz w:val="18"/>
        </w:rPr>
      </w:pPr>
      <w:r>
        <w:rPr>
          <w:rFonts w:ascii="Arial;sans-serif" w:hAnsi="Arial;sans-serif"/>
          <w:b/>
          <w:color w:val="000000"/>
          <w:sz w:val="18"/>
        </w:rPr>
        <w:t>Media:</w:t>
      </w:r>
    </w:p>
    <w:p>
      <w:pPr>
        <w:pStyle w:val="TextBody"/>
        <w:bidi w:val="0"/>
        <w:spacing w:lineRule="auto" w:line="288" w:before="0" w:after="40"/>
        <w:jc w:val="left"/>
        <w:rPr>
          <w:rFonts w:ascii="Arial;sans-serif" w:hAnsi="Arial;sans-serif"/>
          <w:b w:val="false"/>
          <w:color w:val="000000"/>
          <w:sz w:val="18"/>
        </w:rPr>
      </w:pPr>
      <w:r>
        <w:rPr>
          <w:rFonts w:ascii="Arial;sans-serif" w:hAnsi="Arial;sans-serif"/>
          <w:b w:val="false"/>
          <w:color w:val="000000"/>
          <w:sz w:val="18"/>
        </w:rPr>
        <w:t>Taryne Williams</w:t>
      </w:r>
    </w:p>
    <w:p>
      <w:pPr>
        <w:pStyle w:val="TextBody"/>
        <w:bidi w:val="0"/>
        <w:spacing w:lineRule="auto" w:line="288" w:before="0" w:after="40"/>
        <w:jc w:val="left"/>
        <w:rPr>
          <w:rFonts w:ascii="Arial;sans-serif" w:hAnsi="Arial;sans-serif"/>
          <w:b w:val="false"/>
          <w:color w:val="000000"/>
          <w:sz w:val="18"/>
        </w:rPr>
      </w:pPr>
      <w:r>
        <w:rPr>
          <w:rFonts w:ascii="Arial;sans-serif" w:hAnsi="Arial;sans-serif"/>
          <w:b w:val="false"/>
          <w:color w:val="000000"/>
          <w:sz w:val="18"/>
        </w:rPr>
        <w:t>Director, Corporate Communications</w:t>
      </w:r>
    </w:p>
    <w:p>
      <w:pPr>
        <w:pStyle w:val="TextBody"/>
        <w:bidi w:val="0"/>
        <w:spacing w:lineRule="auto" w:line="288" w:before="0" w:after="180"/>
        <w:jc w:val="left"/>
        <w:rPr>
          <w:rFonts w:ascii="Arial;sans-serif" w:hAnsi="Arial;sans-serif"/>
          <w:b w:val="false"/>
          <w:color w:val="026DCE"/>
          <w:sz w:val="18"/>
          <w:u w:val="single"/>
        </w:rPr>
      </w:pPr>
      <w:r>
        <w:rPr>
          <w:rFonts w:ascii="Arial;sans-serif" w:hAnsi="Arial;sans-serif"/>
          <w:b w:val="false"/>
          <w:color w:val="026DCE"/>
          <w:sz w:val="18"/>
          <w:u w:val="single"/>
        </w:rPr>
        <w:t>Taryne.Williams@talenenergy.com</w:t>
      </w:r>
    </w:p>
    <w:p>
      <w:pPr>
        <w:pStyle w:val="TextBody"/>
        <w:bidi w:val="0"/>
        <w:spacing w:before="0" w:after="0"/>
        <w:jc w:val="righ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31445"/>
                <wp:effectExtent l="0" t="0" r="0" b="0"/>
                <wp:wrapNone/>
                <wp:docPr id="6" name="Frame6"/>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18"/>
                              </w:rPr>
                            </w:pPr>
                            <w:r>
                              <w:rPr>
                                <w:rFonts w:ascii="Arial;sans-serif" w:hAnsi="Arial;sans-serif"/>
                                <w:b w:val="false"/>
                                <w:color w:val="000000"/>
                                <w:sz w:val="18"/>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18"/>
                        </w:rPr>
                      </w:pPr>
                      <w:r>
                        <w:rPr>
                          <w:rFonts w:ascii="Arial;sans-serif" w:hAnsi="Arial;sans-serif"/>
                          <w:b w:val="false"/>
                          <w:color w:val="000000"/>
                          <w:sz w:val="18"/>
                        </w:rPr>
                        <w:t>3</w:t>
                      </w:r>
                    </w:p>
                  </w:txbxContent>
                </v:textbox>
                <w10:wrap type="none"/>
              </v:rect>
            </w:pict>
          </mc:Fallback>
        </mc:AlternateContent>
      </w:r>
    </w:p>
    <w:p>
      <w:pPr>
        <w:pStyle w:val="TextBody"/>
        <w:bidi w:val="0"/>
        <w:spacing w:lineRule="auto" w:line="288" w:before="0" w:after="180"/>
        <w:jc w:val="left"/>
        <w:rPr>
          <w:rFonts w:ascii="Arial;sans-serif" w:hAnsi="Arial;sans-serif"/>
          <w:b/>
          <w:color w:val="000000"/>
          <w:sz w:val="18"/>
        </w:rPr>
      </w:pPr>
      <w:r>
        <w:rPr>
          <w:rFonts w:ascii="Arial;sans-serif" w:hAnsi="Arial;sans-serif"/>
          <w:b/>
          <w:color w:val="000000"/>
          <w:sz w:val="18"/>
        </w:rPr>
        <w:t>Forward Looking Statements</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This communication contains forward-looking statements within the meaning of the federal securities laws, which statements are subject to substantial risks and uncertainties. These forward-looking statements are intended to qualify for the safe harbor from liability established by the Private Securities Litigation Reform Act of 1995. All statements other than statements of historical fact included in this communication, or incorporated by reference into this communication, are forward-looking statements. Throughout this communication, we have attempted to identify forward-looking statements by using words such as “anticipate,” “believe,” “continue,” “could,” “estimate,” “expect,” “forecasts,” “goal,” “intend,” “may,” “plan,” “potential,” “predict,” “project,” “seek,” “should,” “will,” or other forms of these words or similar words or expressions or the negative thereof, although not all forward-looking statements contain these terms. Forward-looking statements address future events and conditions concerning, among other things, statements regarding the proposed Freedom and Guernsey acquisitions, the expected closing of the proposed transactions and the timing thereof, the financing of the proposed transactions, capital expenditures, earnings, litigation, regulatory matters, hedging, liquidity and capital resources, accounting matters, expectations, beliefs, plans, objectives, goals, strategies, future events or performance, shareholder returns and underlying assumptions. Forward-looking statements are subject to substantial risks and uncertainties that could cause our future business, financial condition, results of operations or performance to differ materially from our historical results or those expressed or implied in any forward-looking statement contained in this communication. All of our forward-looking statements include assumptions underlying or relating to such statements that may cause actual results to differ materially from expectations and are subject to numerous factors that present considerable risks and uncertainties.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31445"/>
                <wp:effectExtent l="0" t="0" r="0" b="0"/>
                <wp:wrapNone/>
                <wp:docPr id="7" name="Frame7"/>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18"/>
                              </w:rPr>
                            </w:pPr>
                            <w:r>
                              <w:rPr>
                                <w:rFonts w:ascii="Arial;sans-serif" w:hAnsi="Arial;sans-serif"/>
                                <w:b w:val="false"/>
                                <w:color w:val="000000"/>
                                <w:sz w:val="18"/>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18"/>
                        </w:rPr>
                      </w:pPr>
                      <w:r>
                        <w:rPr>
                          <w:rFonts w:ascii="Arial;sans-serif" w:hAnsi="Arial;sans-serif"/>
                          <w:b w:val="false"/>
                          <w:color w:val="000000"/>
                          <w:sz w:val="18"/>
                        </w:rPr>
                        <w:t>4</w:t>
                      </w:r>
                    </w:p>
                  </w:txbxContent>
                </v:textbox>
                <w10:wrap type="none"/>
              </v:rect>
            </w:pict>
          </mc:Fallback>
        </mc:AlternateContent>
      </w:r>
    </w:p>
    <w:p>
      <w:pPr>
        <w:pStyle w:val="TextBody"/>
        <w:bidi w:val="0"/>
        <w:spacing w:lineRule="auto" w:line="288" w:before="180" w:after="180"/>
        <w:jc w:val="center"/>
        <w:rPr>
          <w:rFonts w:ascii="Arial;sans-serif" w:hAnsi="Arial;sans-serif"/>
          <w:b/>
          <w:color w:val="000000"/>
          <w:sz w:val="18"/>
        </w:rPr>
      </w:pPr>
      <w:r>
        <w:rPr>
          <w:rFonts w:ascii="Arial;sans-serif" w:hAnsi="Arial;sans-serif"/>
          <w:b/>
          <w:color w:val="000000"/>
          <w:sz w:val="18"/>
        </w:rPr>
        <w:t>TALEN ENERGY CORPORATION AND SUBSIDIARIES</w:t>
      </w:r>
    </w:p>
    <w:p>
      <w:pPr>
        <w:pStyle w:val="TextBody"/>
        <w:bidi w:val="0"/>
        <w:spacing w:lineRule="auto" w:line="288" w:before="180" w:after="180"/>
        <w:jc w:val="center"/>
        <w:rPr>
          <w:rFonts w:ascii="Arial;sans-serif" w:hAnsi="Arial;sans-serif"/>
          <w:b/>
          <w:color w:val="000000"/>
          <w:sz w:val="18"/>
        </w:rPr>
      </w:pPr>
      <w:r>
        <w:rPr>
          <w:rFonts w:ascii="Arial;sans-serif" w:hAnsi="Arial;sans-serif"/>
          <w:b/>
          <w:color w:val="000000"/>
          <w:sz w:val="18"/>
        </w:rPr>
        <w:t>CONDENSED CONSOLIDATED STATEMENTS OF OPERATIONS (UNAUDITED)</w:t>
      </w:r>
    </w:p>
    <w:tbl>
      <w:tblPr>
        <w:tblW w:w="10205" w:type="dxa"/>
        <w:jc w:val="left"/>
        <w:tblInd w:w="0" w:type="dxa"/>
        <w:tblLayout w:type="fixed"/>
        <w:tblCellMar>
          <w:top w:w="28" w:type="dxa"/>
          <w:left w:w="28" w:type="dxa"/>
          <w:bottom w:w="28" w:type="dxa"/>
          <w:right w:w="28" w:type="dxa"/>
        </w:tblCellMar>
      </w:tblPr>
      <w:tblGrid>
        <w:gridCol w:w="1833"/>
        <w:gridCol w:w="1338"/>
        <w:gridCol w:w="1354"/>
        <w:gridCol w:w="109"/>
        <w:gridCol w:w="109"/>
        <w:gridCol w:w="109"/>
        <w:gridCol w:w="239"/>
        <w:gridCol w:w="570"/>
        <w:gridCol w:w="133"/>
        <w:gridCol w:w="133"/>
        <w:gridCol w:w="133"/>
        <w:gridCol w:w="133"/>
        <w:gridCol w:w="239"/>
        <w:gridCol w:w="570"/>
        <w:gridCol w:w="133"/>
        <w:gridCol w:w="109"/>
        <w:gridCol w:w="109"/>
        <w:gridCol w:w="109"/>
        <w:gridCol w:w="208"/>
        <w:gridCol w:w="556"/>
        <w:gridCol w:w="116"/>
        <w:gridCol w:w="116"/>
        <w:gridCol w:w="116"/>
        <w:gridCol w:w="116"/>
        <w:gridCol w:w="208"/>
        <w:gridCol w:w="593"/>
        <w:gridCol w:w="116"/>
        <w:gridCol w:w="109"/>
        <w:gridCol w:w="109"/>
        <w:gridCol w:w="109"/>
        <w:gridCol w:w="109"/>
        <w:gridCol w:w="162"/>
      </w:tblGrid>
      <w:tr>
        <w:trPr/>
        <w:tc>
          <w:tcPr>
            <w:tcW w:w="1833" w:type="dxa"/>
            <w:tcBorders/>
            <w:vAlign w:val="center"/>
          </w:tcPr>
          <w:p>
            <w:pPr>
              <w:pStyle w:val="TableContents"/>
              <w:bidi w:val="0"/>
              <w:spacing w:before="0" w:after="283"/>
              <w:jc w:val="left"/>
              <w:rPr>
                <w:sz w:val="4"/>
                <w:szCs w:val="4"/>
              </w:rPr>
            </w:pPr>
            <w:r>
              <w:rPr>
                <w:sz w:val="4"/>
                <w:szCs w:val="4"/>
              </w:rPr>
            </w:r>
          </w:p>
        </w:tc>
        <w:tc>
          <w:tcPr>
            <w:tcW w:w="1338" w:type="dxa"/>
            <w:tcBorders/>
            <w:vAlign w:val="center"/>
          </w:tcPr>
          <w:p>
            <w:pPr>
              <w:pStyle w:val="TableContents"/>
              <w:bidi w:val="0"/>
              <w:spacing w:before="0" w:after="283"/>
              <w:jc w:val="left"/>
              <w:rPr>
                <w:sz w:val="4"/>
                <w:szCs w:val="4"/>
              </w:rPr>
            </w:pPr>
            <w:r>
              <w:rPr>
                <w:sz w:val="4"/>
                <w:szCs w:val="4"/>
              </w:rPr>
            </w:r>
          </w:p>
        </w:tc>
        <w:tc>
          <w:tcPr>
            <w:tcW w:w="13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3" w:type="dxa"/>
            <w:gridSpan w:val="9"/>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Arial;sans-serif" w:hAnsi="Arial;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gridSpan w:val="2"/>
            <w:tcBorders/>
          </w:tcPr>
          <w:p>
            <w:pPr>
              <w:pStyle w:val="TableContents"/>
              <w:bidi w:val="0"/>
              <w:spacing w:before="0" w:after="283"/>
              <w:jc w:val="left"/>
              <w:rPr>
                <w:sz w:val="4"/>
                <w:szCs w:val="4"/>
              </w:rPr>
            </w:pPr>
            <w:r>
              <w:rPr>
                <w:sz w:val="4"/>
                <w:szCs w:val="4"/>
              </w:rPr>
            </w:r>
          </w:p>
        </w:tc>
      </w:tr>
      <w:tr>
        <w:trPr/>
        <w:tc>
          <w:tcPr>
            <w:tcW w:w="45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(Millions of Dollars, except share data)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ind w:left="0" w:right="0" w:hanging="180"/>
              <w:jc w:val="left"/>
              <w:rPr>
                <w:sz w:val="4"/>
                <w:szCs w:val="4"/>
              </w:rPr>
            </w:pPr>
            <w:r>
              <w:rPr>
                <w:sz w:val="4"/>
                <w:szCs w:val="4"/>
              </w:rPr>
            </w:r>
          </w:p>
        </w:tc>
      </w:tr>
      <w:tr>
        <w:trPr/>
        <w:tc>
          <w:tcPr>
            <w:tcW w:w="4525" w:type="dxa"/>
            <w:gridSpan w:val="3"/>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Capacity revenues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70"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88 </w:t>
            </w:r>
          </w:p>
        </w:tc>
        <w:tc>
          <w:tcPr>
            <w:tcW w:w="133"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70"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46 </w:t>
            </w:r>
          </w:p>
        </w:tc>
        <w:tc>
          <w:tcPr>
            <w:tcW w:w="133"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137 </w:t>
            </w:r>
          </w:p>
        </w:tc>
        <w:tc>
          <w:tcPr>
            <w:tcW w:w="116"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93"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91 </w:t>
            </w:r>
          </w:p>
        </w:tc>
        <w:tc>
          <w:tcPr>
            <w:tcW w:w="116"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ind w:left="0" w:right="0" w:hanging="180"/>
              <w:jc w:val="left"/>
              <w:rPr>
                <w:sz w:val="4"/>
                <w:szCs w:val="4"/>
              </w:rPr>
            </w:pPr>
            <w:r>
              <w:rPr>
                <w:sz w:val="4"/>
                <w:szCs w:val="4"/>
              </w:rPr>
            </w:r>
          </w:p>
        </w:tc>
      </w:tr>
      <w:tr>
        <w:trPr/>
        <w:tc>
          <w:tcPr>
            <w:tcW w:w="4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Energy and other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366 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367 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948 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939 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ind w:left="0" w:right="0" w:hanging="180"/>
              <w:jc w:val="left"/>
              <w:rPr>
                <w:sz w:val="4"/>
                <w:szCs w:val="4"/>
              </w:rPr>
            </w:pPr>
            <w:r>
              <w:rPr>
                <w:sz w:val="4"/>
                <w:szCs w:val="4"/>
              </w:rPr>
            </w:r>
          </w:p>
        </w:tc>
      </w:tr>
      <w:tr>
        <w:trPr/>
        <w:tc>
          <w:tcPr>
            <w:tcW w:w="4525"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Unrealized gain (loss) on derivative instruments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176 </w:t>
            </w:r>
          </w:p>
        </w:tc>
        <w:tc>
          <w:tcPr>
            <w:tcW w:w="133"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76 </w:t>
            </w:r>
          </w:p>
        </w:tc>
        <w:tc>
          <w:tcPr>
            <w:tcW w:w="133"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(65)</w:t>
            </w:r>
          </w:p>
        </w:tc>
        <w:tc>
          <w:tcPr>
            <w:tcW w:w="116"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w:t>
            </w:r>
          </w:p>
        </w:tc>
        <w:tc>
          <w:tcPr>
            <w:tcW w:w="116"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52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Operating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630</w:t>
            </w:r>
            <w:r>
              <w:rPr>
                <w:color w:val="000000"/>
              </w:rPr>
              <w:t> </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489</w:t>
            </w:r>
            <w:r>
              <w:rPr>
                <w:color w:val="000000"/>
              </w:rPr>
              <w:t> </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1,020</w:t>
            </w:r>
            <w:r>
              <w:rPr>
                <w:color w:val="000000"/>
              </w:rPr>
              <w:t>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998</w:t>
            </w:r>
            <w:r>
              <w:rPr>
                <w:color w:val="000000"/>
              </w:rPr>
              <w:t>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ind w:left="0" w:right="0" w:hanging="180"/>
              <w:jc w:val="left"/>
              <w:rPr>
                <w:sz w:val="4"/>
                <w:szCs w:val="4"/>
              </w:rPr>
            </w:pPr>
            <w:r>
              <w:rPr>
                <w:sz w:val="4"/>
                <w:szCs w:val="4"/>
              </w:rPr>
            </w:r>
          </w:p>
        </w:tc>
      </w:tr>
      <w:tr>
        <w:trPr/>
        <w:tc>
          <w:tcPr>
            <w:tcW w:w="4525"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Fuel and energy purchases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(150)</w:t>
            </w:r>
          </w:p>
        </w:tc>
        <w:tc>
          <w:tcPr>
            <w:tcW w:w="133"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(163)</w:t>
            </w:r>
          </w:p>
        </w:tc>
        <w:tc>
          <w:tcPr>
            <w:tcW w:w="133"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(418)</w:t>
            </w:r>
          </w:p>
        </w:tc>
        <w:tc>
          <w:tcPr>
            <w:tcW w:w="116"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(313)</w:t>
            </w:r>
          </w:p>
        </w:tc>
        <w:tc>
          <w:tcPr>
            <w:tcW w:w="116"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ind w:left="0" w:right="0" w:hanging="180"/>
              <w:jc w:val="left"/>
              <w:rPr>
                <w:sz w:val="4"/>
                <w:szCs w:val="4"/>
              </w:rPr>
            </w:pPr>
            <w:r>
              <w:rPr>
                <w:sz w:val="4"/>
                <w:szCs w:val="4"/>
              </w:rPr>
            </w:r>
          </w:p>
        </w:tc>
      </w:tr>
      <w:tr>
        <w:trPr/>
        <w:tc>
          <w:tcPr>
            <w:tcW w:w="4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Nuclear fuel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(63)</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ind w:left="0" w:right="0" w:hanging="180"/>
              <w:jc w:val="left"/>
              <w:rPr>
                <w:sz w:val="4"/>
                <w:szCs w:val="4"/>
              </w:rPr>
            </w:pPr>
            <w:r>
              <w:rPr>
                <w:sz w:val="4"/>
                <w:szCs w:val="4"/>
              </w:rPr>
            </w:r>
          </w:p>
        </w:tc>
      </w:tr>
      <w:tr>
        <w:trPr/>
        <w:tc>
          <w:tcPr>
            <w:tcW w:w="4525"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Unrealized gain (loss) on derivative instruments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(84)</w:t>
            </w:r>
          </w:p>
        </w:tc>
        <w:tc>
          <w:tcPr>
            <w:tcW w:w="133"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15 </w:t>
            </w:r>
          </w:p>
        </w:tc>
        <w:tc>
          <w:tcPr>
            <w:tcW w:w="133"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w:t>
            </w:r>
          </w:p>
        </w:tc>
        <w:tc>
          <w:tcPr>
            <w:tcW w:w="116"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w:t>
            </w:r>
          </w:p>
        </w:tc>
        <w:tc>
          <w:tcPr>
            <w:tcW w:w="116"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52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Energy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(252)</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(176)</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(487)</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(388)</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525"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Operating Expenses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52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6"/>
              </w:rPr>
            </w:pPr>
            <w:r>
              <w:rPr>
                <w:rFonts w:ascii="Arial;sans-serif" w:hAnsi="Arial;sans-serif"/>
                <w:b w:val="false"/>
                <w:color w:val="000000"/>
                <w:sz w:val="16"/>
              </w:rPr>
              <w:t>Operation, maintenance and development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(192)</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(164)</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(338)</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(318)</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ind w:left="0" w:right="0" w:hanging="180"/>
              <w:jc w:val="left"/>
              <w:rPr>
                <w:sz w:val="4"/>
                <w:szCs w:val="4"/>
              </w:rPr>
            </w:pPr>
            <w:r>
              <w:rPr>
                <w:sz w:val="4"/>
                <w:szCs w:val="4"/>
              </w:rPr>
            </w:r>
          </w:p>
        </w:tc>
      </w:tr>
      <w:tr>
        <w:trPr/>
        <w:tc>
          <w:tcPr>
            <w:tcW w:w="4525"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General and administrative</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w:t>
            </w:r>
          </w:p>
        </w:tc>
        <w:tc>
          <w:tcPr>
            <w:tcW w:w="133"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w:t>
            </w:r>
          </w:p>
        </w:tc>
        <w:tc>
          <w:tcPr>
            <w:tcW w:w="133"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(75)</w:t>
            </w:r>
          </w:p>
        </w:tc>
        <w:tc>
          <w:tcPr>
            <w:tcW w:w="116"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(83)</w:t>
            </w:r>
          </w:p>
        </w:tc>
        <w:tc>
          <w:tcPr>
            <w:tcW w:w="116"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ind w:left="0" w:right="0" w:hanging="180"/>
              <w:jc w:val="left"/>
              <w:rPr>
                <w:sz w:val="4"/>
                <w:szCs w:val="4"/>
              </w:rPr>
            </w:pPr>
            <w:r>
              <w:rPr>
                <w:sz w:val="4"/>
                <w:szCs w:val="4"/>
              </w:rPr>
            </w:r>
          </w:p>
        </w:tc>
      </w:tr>
      <w:tr>
        <w:trPr/>
        <w:tc>
          <w:tcPr>
            <w:tcW w:w="4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Depreciation, amortization and accretion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(70)</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(75)</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(144)</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(150)</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5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2"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9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0"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5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2"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9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0"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ind w:left="0" w:right="0" w:hanging="180"/>
              <w:jc w:val="left"/>
              <w:rPr>
                <w:sz w:val="4"/>
                <w:szCs w:val="4"/>
              </w:rPr>
            </w:pPr>
            <w:r>
              <w:rPr>
                <w:sz w:val="4"/>
                <w:szCs w:val="4"/>
              </w:rPr>
            </w:r>
          </w:p>
        </w:tc>
      </w:tr>
      <w:tr>
        <w:trPr/>
        <w:tc>
          <w:tcPr>
            <w:tcW w:w="4525"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operating income (expense), net</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w:t>
            </w:r>
          </w:p>
        </w:tc>
        <w:tc>
          <w:tcPr>
            <w:tcW w:w="133"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w:t>
            </w:r>
          </w:p>
        </w:tc>
        <w:tc>
          <w:tcPr>
            <w:tcW w:w="133"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w:t>
            </w:r>
          </w:p>
        </w:tc>
        <w:tc>
          <w:tcPr>
            <w:tcW w:w="116"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w:t>
            </w:r>
          </w:p>
        </w:tc>
        <w:tc>
          <w:tcPr>
            <w:tcW w:w="116"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52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Operating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66</w:t>
            </w:r>
            <w:r>
              <w:rPr>
                <w:color w:val="000000"/>
              </w:rPr>
              <w:t> </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27</w:t>
            </w:r>
            <w:r>
              <w:rPr>
                <w:color w:val="000000"/>
              </w:rPr>
              <w:t> </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(40)</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52</w:t>
            </w:r>
            <w:r>
              <w:rPr>
                <w:color w:val="000000"/>
              </w:rPr>
              <w:t>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ind w:left="0" w:right="0" w:hanging="180"/>
              <w:jc w:val="left"/>
              <w:rPr>
                <w:sz w:val="4"/>
                <w:szCs w:val="4"/>
              </w:rPr>
            </w:pPr>
            <w:r>
              <w:rPr>
                <w:sz w:val="4"/>
                <w:szCs w:val="4"/>
              </w:rPr>
            </w:r>
          </w:p>
        </w:tc>
      </w:tr>
      <w:tr>
        <w:trPr/>
        <w:tc>
          <w:tcPr>
            <w:tcW w:w="4525"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Nuclear decommissioning trust funds gain (loss), net</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80 </w:t>
            </w:r>
          </w:p>
        </w:tc>
        <w:tc>
          <w:tcPr>
            <w:tcW w:w="133"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27 </w:t>
            </w:r>
          </w:p>
        </w:tc>
        <w:tc>
          <w:tcPr>
            <w:tcW w:w="133"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68 </w:t>
            </w:r>
          </w:p>
        </w:tc>
        <w:tc>
          <w:tcPr>
            <w:tcW w:w="116"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102 </w:t>
            </w:r>
          </w:p>
        </w:tc>
        <w:tc>
          <w:tcPr>
            <w:tcW w:w="116"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ind w:left="0" w:right="0" w:hanging="180"/>
              <w:jc w:val="left"/>
              <w:rPr>
                <w:sz w:val="4"/>
                <w:szCs w:val="4"/>
              </w:rPr>
            </w:pPr>
            <w:r>
              <w:rPr>
                <w:sz w:val="4"/>
                <w:szCs w:val="4"/>
              </w:rPr>
            </w:r>
          </w:p>
        </w:tc>
      </w:tr>
      <w:tr>
        <w:trPr/>
        <w:tc>
          <w:tcPr>
            <w:tcW w:w="4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expense and other finance charges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(62)</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(62)</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(136)</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(121)</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5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2"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9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0"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5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2"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9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0"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525"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Gain (loss) on sale of assets, net</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9 </w:t>
            </w:r>
          </w:p>
        </w:tc>
        <w:tc>
          <w:tcPr>
            <w:tcW w:w="133"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561 </w:t>
            </w:r>
          </w:p>
        </w:tc>
        <w:tc>
          <w:tcPr>
            <w:tcW w:w="133"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11 </w:t>
            </w:r>
          </w:p>
        </w:tc>
        <w:tc>
          <w:tcPr>
            <w:tcW w:w="116"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885 </w:t>
            </w:r>
          </w:p>
        </w:tc>
        <w:tc>
          <w:tcPr>
            <w:tcW w:w="116"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ind w:left="0" w:right="0" w:hanging="180"/>
              <w:jc w:val="left"/>
              <w:rPr>
                <w:sz w:val="4"/>
                <w:szCs w:val="4"/>
              </w:rPr>
            </w:pPr>
            <w:r>
              <w:rPr>
                <w:sz w:val="4"/>
                <w:szCs w:val="4"/>
              </w:rPr>
            </w:r>
          </w:p>
        </w:tc>
      </w:tr>
      <w:tr>
        <w:trPr/>
        <w:tc>
          <w:tcPr>
            <w:tcW w:w="4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non-operating income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525" w:type="dxa"/>
            <w:gridSpan w:val="3"/>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Income (Loss) Before Income Taxes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97</w:t>
            </w:r>
            <w:r>
              <w:rPr>
                <w:color w:val="000000"/>
              </w:rPr>
              <w:t> </w:t>
            </w:r>
          </w:p>
        </w:tc>
        <w:tc>
          <w:tcPr>
            <w:tcW w:w="133"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570</w:t>
            </w:r>
            <w:r>
              <w:rPr>
                <w:color w:val="000000"/>
              </w:rPr>
              <w:t> </w:t>
            </w:r>
          </w:p>
        </w:tc>
        <w:tc>
          <w:tcPr>
            <w:tcW w:w="133"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(90)</w:t>
            </w:r>
          </w:p>
        </w:tc>
        <w:tc>
          <w:tcPr>
            <w:tcW w:w="116"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2"/>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958</w:t>
            </w:r>
            <w:r>
              <w:rPr>
                <w:color w:val="000000"/>
              </w:rPr>
              <w:t> </w:t>
            </w:r>
          </w:p>
        </w:tc>
        <w:tc>
          <w:tcPr>
            <w:tcW w:w="116"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ind w:left="0" w:right="0" w:hanging="180"/>
              <w:jc w:val="left"/>
              <w:rPr>
                <w:sz w:val="4"/>
                <w:szCs w:val="4"/>
              </w:rPr>
            </w:pPr>
            <w:r>
              <w:rPr>
                <w:sz w:val="4"/>
                <w:szCs w:val="4"/>
              </w:rPr>
            </w:r>
          </w:p>
        </w:tc>
      </w:tr>
      <w:tr>
        <w:trPr/>
        <w:tc>
          <w:tcPr>
            <w:tcW w:w="4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Income tax benefit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(112)</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(181)</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525" w:type="dxa"/>
            <w:gridSpan w:val="3"/>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Income (Loss)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72</w:t>
            </w:r>
            <w:r>
              <w:rPr>
                <w:color w:val="000000"/>
              </w:rPr>
              <w:t> </w:t>
            </w:r>
          </w:p>
        </w:tc>
        <w:tc>
          <w:tcPr>
            <w:tcW w:w="133"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458</w:t>
            </w:r>
            <w:r>
              <w:rPr>
                <w:color w:val="000000"/>
              </w:rPr>
              <w:t> </w:t>
            </w:r>
          </w:p>
        </w:tc>
        <w:tc>
          <w:tcPr>
            <w:tcW w:w="133"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(63)</w:t>
            </w:r>
          </w:p>
        </w:tc>
        <w:tc>
          <w:tcPr>
            <w:tcW w:w="116"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2"/>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777</w:t>
            </w:r>
            <w:r>
              <w:rPr>
                <w:color w:val="000000"/>
              </w:rPr>
              <w:t> </w:t>
            </w:r>
          </w:p>
        </w:tc>
        <w:tc>
          <w:tcPr>
            <w:tcW w:w="116"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ind w:left="0" w:right="0" w:hanging="180"/>
              <w:jc w:val="left"/>
              <w:rPr>
                <w:sz w:val="4"/>
                <w:szCs w:val="4"/>
              </w:rPr>
            </w:pPr>
            <w:r>
              <w:rPr>
                <w:sz w:val="4"/>
                <w:szCs w:val="4"/>
              </w:rPr>
            </w:r>
          </w:p>
        </w:tc>
      </w:tr>
      <w:tr>
        <w:trPr/>
        <w:tc>
          <w:tcPr>
            <w:tcW w:w="4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Net income (loss) attributable to noncontrolling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525" w:type="dxa"/>
            <w:gridSpan w:val="3"/>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color w:val="000000"/>
                <w:sz w:val="16"/>
              </w:rPr>
            </w:pPr>
            <w:r>
              <w:rPr>
                <w:rFonts w:ascii="Arial;sans-serif" w:hAnsi="Arial;sans-serif"/>
                <w:b/>
                <w:color w:val="000000"/>
                <w:sz w:val="16"/>
              </w:rPr>
              <w:t xml:space="preserve">Net Income (Loss) Attributable to Stockholders </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0"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72</w:t>
            </w:r>
            <w:r>
              <w:rPr>
                <w:color w:val="000000"/>
              </w:rPr>
              <w:t> </w:t>
            </w:r>
          </w:p>
        </w:tc>
        <w:tc>
          <w:tcPr>
            <w:tcW w:w="133"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0"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454</w:t>
            </w:r>
            <w:r>
              <w:rPr>
                <w:color w:val="000000"/>
              </w:rPr>
              <w:t> </w:t>
            </w:r>
          </w:p>
        </w:tc>
        <w:tc>
          <w:tcPr>
            <w:tcW w:w="133"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56"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(63)</w:t>
            </w:r>
          </w:p>
        </w:tc>
        <w:tc>
          <w:tcPr>
            <w:tcW w:w="116"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93"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748</w:t>
            </w:r>
            <w:r>
              <w:rPr>
                <w:color w:val="000000"/>
              </w:rPr>
              <w:t> </w:t>
            </w:r>
          </w:p>
        </w:tc>
        <w:tc>
          <w:tcPr>
            <w:tcW w:w="116"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ind w:left="0" w:right="0" w:hanging="180"/>
              <w:jc w:val="left"/>
              <w:rPr>
                <w:sz w:val="4"/>
                <w:szCs w:val="4"/>
              </w:rPr>
            </w:pPr>
            <w:r>
              <w:rPr>
                <w:sz w:val="4"/>
                <w:szCs w:val="4"/>
              </w:rPr>
            </w:r>
          </w:p>
        </w:tc>
      </w:tr>
      <w:tr>
        <w:trPr/>
        <w:tc>
          <w:tcPr>
            <w:tcW w:w="4525"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Per Common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ind w:left="0" w:right="0" w:hanging="180"/>
              <w:jc w:val="left"/>
              <w:rPr>
                <w:sz w:val="4"/>
                <w:szCs w:val="4"/>
              </w:rPr>
            </w:pPr>
            <w:r>
              <w:rPr>
                <w:sz w:val="4"/>
                <w:szCs w:val="4"/>
              </w:rPr>
            </w:r>
          </w:p>
        </w:tc>
      </w:tr>
      <w:tr>
        <w:trPr/>
        <w:tc>
          <w:tcPr>
            <w:tcW w:w="4525"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Income (Loss) Attributable to Stockholders - Basic</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70" w:type="dxa"/>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1.58 </w:t>
            </w:r>
          </w:p>
        </w:tc>
        <w:tc>
          <w:tcPr>
            <w:tcW w:w="133"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70" w:type="dxa"/>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7.90 </w:t>
            </w:r>
          </w:p>
        </w:tc>
        <w:tc>
          <w:tcPr>
            <w:tcW w:w="133"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(1.38)</w:t>
            </w:r>
          </w:p>
        </w:tc>
        <w:tc>
          <w:tcPr>
            <w:tcW w:w="116"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93" w:type="dxa"/>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12.87 </w:t>
            </w:r>
          </w:p>
        </w:tc>
        <w:tc>
          <w:tcPr>
            <w:tcW w:w="116"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ind w:left="0" w:right="0" w:hanging="180"/>
              <w:jc w:val="left"/>
              <w:rPr>
                <w:sz w:val="4"/>
                <w:szCs w:val="4"/>
              </w:rPr>
            </w:pPr>
            <w:r>
              <w:rPr>
                <w:sz w:val="4"/>
                <w:szCs w:val="4"/>
              </w:rPr>
            </w:r>
          </w:p>
        </w:tc>
      </w:tr>
      <w:tr>
        <w:trPr/>
        <w:tc>
          <w:tcPr>
            <w:tcW w:w="4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Income (Loss) Attributable to Stockholders - 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1.50 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7.60 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(1.38)</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12.41 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ind w:left="0" w:right="0" w:hanging="180"/>
              <w:jc w:val="left"/>
              <w:rPr>
                <w:sz w:val="4"/>
                <w:szCs w:val="4"/>
              </w:rPr>
            </w:pPr>
            <w:r>
              <w:rPr>
                <w:sz w:val="4"/>
                <w:szCs w:val="4"/>
              </w:rPr>
            </w:r>
          </w:p>
        </w:tc>
      </w:tr>
      <w:tr>
        <w:trPr/>
        <w:tc>
          <w:tcPr>
            <w:tcW w:w="4525"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Weighted-Average Number of Common Shares Outstanding - Basic (in thousands)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45,554 </w:t>
            </w:r>
          </w:p>
        </w:tc>
        <w:tc>
          <w:tcPr>
            <w:tcW w:w="133"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57,434 </w:t>
            </w:r>
          </w:p>
        </w:tc>
        <w:tc>
          <w:tcPr>
            <w:tcW w:w="133"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45,699 </w:t>
            </w:r>
          </w:p>
        </w:tc>
        <w:tc>
          <w:tcPr>
            <w:tcW w:w="116"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58,119 </w:t>
            </w:r>
          </w:p>
        </w:tc>
        <w:tc>
          <w:tcPr>
            <w:tcW w:w="116"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ind w:left="0" w:right="0" w:hanging="180"/>
              <w:jc w:val="left"/>
              <w:rPr>
                <w:sz w:val="4"/>
                <w:szCs w:val="4"/>
              </w:rPr>
            </w:pPr>
            <w:r>
              <w:rPr>
                <w:sz w:val="4"/>
                <w:szCs w:val="4"/>
              </w:rPr>
            </w:r>
          </w:p>
        </w:tc>
      </w:tr>
      <w:tr>
        <w:trPr/>
        <w:tc>
          <w:tcPr>
            <w:tcW w:w="4525"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Weighted-Average Number of Common Shares Outstanding - Diluted (in thousands)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47,905 </w:t>
            </w:r>
          </w:p>
        </w:tc>
        <w:tc>
          <w:tcPr>
            <w:tcW w:w="133"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59,775 </w:t>
            </w:r>
          </w:p>
        </w:tc>
        <w:tc>
          <w:tcPr>
            <w:tcW w:w="133"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45,699 </w:t>
            </w:r>
          </w:p>
        </w:tc>
        <w:tc>
          <w:tcPr>
            <w:tcW w:w="116"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60,269 </w:t>
            </w:r>
          </w:p>
        </w:tc>
        <w:tc>
          <w:tcPr>
            <w:tcW w:w="116"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180"/>
        <w:jc w:val="left"/>
        <w:rPr/>
      </w:pPr>
      <w:r>
        <w:rPr/>
      </w:r>
    </w:p>
    <w:p>
      <w:pPr>
        <w:pStyle w:val="TextBody"/>
        <w:bidi w:val="0"/>
        <w:spacing w:before="180" w:after="180"/>
        <w:jc w:val="center"/>
        <w:rPr/>
      </w:pPr>
      <w:r>
        <w:rPr/>
      </w:r>
    </w:p>
    <w:p>
      <w:pPr>
        <w:pStyle w:val="TextBody"/>
        <w:bidi w:val="0"/>
        <w:spacing w:before="180" w:after="180"/>
        <w:jc w:val="center"/>
        <w:rPr/>
      </w:pPr>
      <w:r>
        <w:rPr/>
      </w:r>
    </w:p>
    <w:p>
      <w:pPr>
        <w:pStyle w:val="TextBody"/>
        <w:bidi w:val="0"/>
        <w:spacing w:before="180" w:after="180"/>
        <w:jc w:val="center"/>
        <w:rPr/>
      </w:pPr>
      <w:r>
        <w:rPr/>
      </w:r>
    </w:p>
    <w:p>
      <w:pPr>
        <w:pStyle w:val="TextBody"/>
        <w:bidi w:val="0"/>
        <w:spacing w:before="180" w:after="180"/>
        <w:jc w:val="center"/>
        <w:rPr/>
      </w:pPr>
      <w:r>
        <w:rPr/>
      </w:r>
    </w:p>
    <w:p>
      <w:pPr>
        <w:pStyle w:val="TextBody"/>
        <w:bidi w:val="0"/>
        <w:spacing w:before="180" w:after="180"/>
        <w:jc w:val="center"/>
        <w:rPr/>
      </w:pPr>
      <w:r>
        <w:rPr/>
      </w:r>
    </w:p>
    <w:p>
      <w:pPr>
        <w:pStyle w:val="TextBody"/>
        <w:bidi w:val="0"/>
        <w:spacing w:before="180" w:after="180"/>
        <w:jc w:val="center"/>
        <w:rPr/>
      </w:pPr>
      <w:r>
        <w:rPr/>
      </w:r>
    </w:p>
    <w:p>
      <w:pPr>
        <w:pStyle w:val="TextBody"/>
        <w:bidi w:val="0"/>
        <w:spacing w:before="180" w:after="180"/>
        <w:jc w:val="center"/>
        <w:rPr/>
      </w:pPr>
      <w:r>
        <w:rPr/>
      </w:r>
    </w:p>
    <w:p>
      <w:pPr>
        <w:pStyle w:val="TextBody"/>
        <w:bidi w:val="0"/>
        <w:spacing w:before="180" w:after="180"/>
        <w:jc w:val="center"/>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31445"/>
                <wp:effectExtent l="0" t="0" r="0" b="0"/>
                <wp:wrapNone/>
                <wp:docPr id="8" name="Frame8"/>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18"/>
                              </w:rPr>
                            </w:pPr>
                            <w:r>
                              <w:rPr>
                                <w:rFonts w:ascii="Arial;sans-serif" w:hAnsi="Arial;sans-serif"/>
                                <w:b w:val="false"/>
                                <w:color w:val="000000"/>
                                <w:sz w:val="18"/>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18"/>
                        </w:rPr>
                      </w:pPr>
                      <w:r>
                        <w:rPr>
                          <w:rFonts w:ascii="Arial;sans-serif" w:hAnsi="Arial;sans-serif"/>
                          <w:b w:val="false"/>
                          <w:color w:val="000000"/>
                          <w:sz w:val="18"/>
                        </w:rPr>
                        <w:t>5</w:t>
                      </w:r>
                    </w:p>
                  </w:txbxContent>
                </v:textbox>
                <w10:wrap type="none"/>
              </v:rect>
            </w:pict>
          </mc:Fallback>
        </mc:AlternateContent>
      </w:r>
    </w:p>
    <w:p>
      <w:pPr>
        <w:pStyle w:val="TextBody"/>
        <w:bidi w:val="0"/>
        <w:spacing w:lineRule="auto" w:line="288" w:before="180" w:after="180"/>
        <w:jc w:val="center"/>
        <w:rPr>
          <w:rFonts w:ascii="Arial;sans-serif" w:hAnsi="Arial;sans-serif"/>
          <w:b/>
          <w:color w:val="000000"/>
          <w:sz w:val="18"/>
        </w:rPr>
      </w:pPr>
      <w:r>
        <w:rPr>
          <w:rFonts w:ascii="Arial;sans-serif" w:hAnsi="Arial;sans-serif"/>
          <w:b/>
          <w:color w:val="000000"/>
          <w:sz w:val="18"/>
        </w:rPr>
        <w:t>TALEN ENERGY CORPORATION AND SUBSIDIARIES</w:t>
      </w:r>
    </w:p>
    <w:p>
      <w:pPr>
        <w:pStyle w:val="TextBody"/>
        <w:bidi w:val="0"/>
        <w:spacing w:lineRule="auto" w:line="288" w:before="180" w:after="180"/>
        <w:jc w:val="center"/>
        <w:rPr>
          <w:rFonts w:ascii="Arial;sans-serif" w:hAnsi="Arial;sans-serif"/>
          <w:b/>
          <w:color w:val="000000"/>
          <w:sz w:val="18"/>
        </w:rPr>
      </w:pPr>
      <w:r>
        <w:rPr>
          <w:rFonts w:ascii="Arial;sans-serif" w:hAnsi="Arial;sans-serif"/>
          <w:b/>
          <w:color w:val="000000"/>
          <w:sz w:val="18"/>
        </w:rPr>
        <w:t>CONDENSED CONSOLIDATED BALANCE SHEETS (UNAUDITED)</w:t>
      </w:r>
    </w:p>
    <w:tbl>
      <w:tblPr>
        <w:tblW w:w="7874" w:type="dxa"/>
        <w:jc w:val="left"/>
        <w:tblInd w:w="0" w:type="dxa"/>
        <w:tblLayout w:type="fixed"/>
        <w:tblCellMar>
          <w:top w:w="28" w:type="dxa"/>
          <w:left w:w="28" w:type="dxa"/>
          <w:bottom w:w="28" w:type="dxa"/>
          <w:right w:w="28" w:type="dxa"/>
        </w:tblCellMar>
      </w:tblPr>
      <w:tblGrid>
        <w:gridCol w:w="1852"/>
        <w:gridCol w:w="1630"/>
        <w:gridCol w:w="1647"/>
        <w:gridCol w:w="109"/>
        <w:gridCol w:w="109"/>
        <w:gridCol w:w="109"/>
        <w:gridCol w:w="196"/>
        <w:gridCol w:w="571"/>
        <w:gridCol w:w="109"/>
        <w:gridCol w:w="109"/>
        <w:gridCol w:w="109"/>
        <w:gridCol w:w="109"/>
        <w:gridCol w:w="258"/>
        <w:gridCol w:w="753"/>
        <w:gridCol w:w="204"/>
      </w:tblGrid>
      <w:tr>
        <w:trPr/>
        <w:tc>
          <w:tcPr>
            <w:tcW w:w="1852" w:type="dxa"/>
            <w:tcBorders/>
            <w:vAlign w:val="center"/>
          </w:tcPr>
          <w:p>
            <w:pPr>
              <w:pStyle w:val="TableContents"/>
              <w:bidi w:val="0"/>
              <w:spacing w:before="0" w:after="283"/>
              <w:jc w:val="left"/>
              <w:rPr>
                <w:sz w:val="4"/>
                <w:szCs w:val="4"/>
              </w:rPr>
            </w:pPr>
            <w:r>
              <w:rPr>
                <w:sz w:val="4"/>
                <w:szCs w:val="4"/>
              </w:rPr>
            </w:r>
          </w:p>
        </w:tc>
        <w:tc>
          <w:tcPr>
            <w:tcW w:w="1630" w:type="dxa"/>
            <w:tcBorders/>
            <w:vAlign w:val="center"/>
          </w:tcPr>
          <w:p>
            <w:pPr>
              <w:pStyle w:val="TableContents"/>
              <w:bidi w:val="0"/>
              <w:spacing w:before="0" w:after="283"/>
              <w:jc w:val="left"/>
              <w:rPr>
                <w:sz w:val="4"/>
                <w:szCs w:val="4"/>
              </w:rPr>
            </w:pPr>
            <w:r>
              <w:rPr>
                <w:sz w:val="4"/>
                <w:szCs w:val="4"/>
              </w:rPr>
            </w:r>
          </w:p>
        </w:tc>
        <w:tc>
          <w:tcPr>
            <w:tcW w:w="16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r>
      <w:tr>
        <w:trPr/>
        <w:tc>
          <w:tcPr>
            <w:tcW w:w="51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1542" w:type="dxa"/>
            <w:gridSpan w:val="6"/>
            <w:tcBorders/>
          </w:tcPr>
          <w:p>
            <w:pPr>
              <w:pStyle w:val="TableContents"/>
              <w:bidi w:val="0"/>
              <w:spacing w:before="0" w:after="283"/>
              <w:jc w:val="left"/>
              <w:rPr>
                <w:sz w:val="4"/>
                <w:szCs w:val="4"/>
              </w:rPr>
            </w:pPr>
            <w:r>
              <w:rPr>
                <w:sz w:val="4"/>
                <w:szCs w:val="4"/>
              </w:rPr>
            </w:r>
          </w:p>
        </w:tc>
      </w:tr>
      <w:tr>
        <w:trPr/>
        <w:tc>
          <w:tcPr>
            <w:tcW w:w="51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(Millions of Dollars, except share data)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w:t>
              <w:br/>
              <w:t>2024</w:t>
            </w:r>
          </w:p>
        </w:tc>
      </w:tr>
      <w:tr>
        <w:trPr/>
        <w:tc>
          <w:tcPr>
            <w:tcW w:w="5129" w:type="dxa"/>
            <w:gridSpan w:val="3"/>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Assets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shd w:fill="E1E1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single" w:sz="8" w:space="0" w:color="000000"/>
            </w:tcBorders>
            <w:shd w:fill="E1E1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328 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9"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Restricted cash and cash equivalents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13 </w:t>
            </w:r>
          </w:p>
        </w:tc>
        <w:tc>
          <w:tcPr>
            <w:tcW w:w="1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37 </w:t>
            </w:r>
          </w:p>
        </w:tc>
        <w:tc>
          <w:tcPr>
            <w:tcW w:w="204"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Accounts receivable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123 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9"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Inventory, net</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224 </w:t>
            </w:r>
          </w:p>
        </w:tc>
        <w:tc>
          <w:tcPr>
            <w:tcW w:w="1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302 </w:t>
            </w:r>
          </w:p>
        </w:tc>
        <w:tc>
          <w:tcPr>
            <w:tcW w:w="204"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Derivative instruments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66 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r>
      <w:tr>
        <w:trPr/>
        <w:tc>
          <w:tcPr>
            <w:tcW w:w="5129"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current assets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165 </w:t>
            </w:r>
          </w:p>
        </w:tc>
        <w:tc>
          <w:tcPr>
            <w:tcW w:w="1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184 </w:t>
            </w:r>
          </w:p>
        </w:tc>
        <w:tc>
          <w:tcPr>
            <w:tcW w:w="204"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830</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1,040</w:t>
            </w:r>
            <w:r>
              <w:rPr>
                <w:color w:val="000000"/>
              </w:rPr>
              <w:t> </w:t>
            </w:r>
          </w:p>
        </w:tc>
        <w:tc>
          <w:tcPr>
            <w:tcW w:w="20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9" w:type="dxa"/>
            <w:gridSpan w:val="3"/>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Property, plant and equipment, net</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3,089 </w:t>
            </w:r>
          </w:p>
        </w:tc>
        <w:tc>
          <w:tcPr>
            <w:tcW w:w="109"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3,154 </w:t>
            </w:r>
          </w:p>
        </w:tc>
        <w:tc>
          <w:tcPr>
            <w:tcW w:w="204"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Nuclear decommissioning trust funds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1,724 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9"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Derivative instruments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5 </w:t>
            </w:r>
          </w:p>
        </w:tc>
        <w:tc>
          <w:tcPr>
            <w:tcW w:w="204"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noncurrent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183 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9" w:type="dxa"/>
            <w:gridSpan w:val="3"/>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Assets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1"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5,827</w:t>
            </w:r>
            <w:r>
              <w:rPr>
                <w:color w:val="000000"/>
              </w:rPr>
              <w:t> </w:t>
            </w:r>
          </w:p>
        </w:tc>
        <w:tc>
          <w:tcPr>
            <w:tcW w:w="109"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3"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6,106</w:t>
            </w:r>
            <w:r>
              <w:rPr>
                <w:color w:val="000000"/>
              </w:rPr>
              <w:t> </w:t>
            </w:r>
          </w:p>
        </w:tc>
        <w:tc>
          <w:tcPr>
            <w:tcW w:w="204"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Liabilities and 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9"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Revolving credit facilities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71" w:type="dxa"/>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70 </w:t>
            </w:r>
          </w:p>
        </w:tc>
        <w:tc>
          <w:tcPr>
            <w:tcW w:w="1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53" w:type="dxa"/>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r>
      <w:tr>
        <w:trPr/>
        <w:tc>
          <w:tcPr>
            <w:tcW w:w="51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Long-term debt, due within one year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r>
      <w:tr>
        <w:trPr/>
        <w:tc>
          <w:tcPr>
            <w:tcW w:w="51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r>
      <w:tr>
        <w:trPr/>
        <w:tc>
          <w:tcPr>
            <w:tcW w:w="5129"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Accrued interest</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30 </w:t>
            </w:r>
          </w:p>
        </w:tc>
        <w:tc>
          <w:tcPr>
            <w:tcW w:w="1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18 </w:t>
            </w:r>
          </w:p>
        </w:tc>
        <w:tc>
          <w:tcPr>
            <w:tcW w:w="204"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Accounts payable and other accrued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266 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9"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Derivative instruments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32 </w:t>
            </w:r>
          </w:p>
        </w:tc>
        <w:tc>
          <w:tcPr>
            <w:tcW w:w="1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r>
      <w:tr>
        <w:trPr/>
        <w:tc>
          <w:tcPr>
            <w:tcW w:w="51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154 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9" w:type="dxa"/>
            <w:gridSpan w:val="3"/>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current liabilities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452</w:t>
            </w:r>
            <w:r>
              <w:rPr>
                <w:color w:val="000000"/>
              </w:rPr>
              <w:t> </w:t>
            </w:r>
          </w:p>
        </w:tc>
        <w:tc>
          <w:tcPr>
            <w:tcW w:w="109"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455</w:t>
            </w:r>
            <w:r>
              <w:rPr>
                <w:color w:val="000000"/>
              </w:rPr>
              <w:t> </w:t>
            </w:r>
          </w:p>
        </w:tc>
        <w:tc>
          <w:tcPr>
            <w:tcW w:w="204"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Long-term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2,972 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2,987 </w:t>
            </w:r>
          </w:p>
        </w:tc>
        <w:tc>
          <w:tcPr>
            <w:tcW w:w="20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r>
      <w:tr>
        <w:trPr/>
        <w:tc>
          <w:tcPr>
            <w:tcW w:w="5129"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Derivative instruments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62 </w:t>
            </w:r>
          </w:p>
        </w:tc>
        <w:tc>
          <w:tcPr>
            <w:tcW w:w="1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7 </w:t>
            </w:r>
          </w:p>
        </w:tc>
        <w:tc>
          <w:tcPr>
            <w:tcW w:w="204"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Postretirement benefit obligations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305 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9"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Asset retirement obligations and accrued environmental costs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478 </w:t>
            </w:r>
          </w:p>
        </w:tc>
        <w:tc>
          <w:tcPr>
            <w:tcW w:w="1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468 </w:t>
            </w:r>
          </w:p>
        </w:tc>
        <w:tc>
          <w:tcPr>
            <w:tcW w:w="204"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Deferred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362 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9"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noncurrent liabilities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38 </w:t>
            </w:r>
          </w:p>
        </w:tc>
        <w:tc>
          <w:tcPr>
            <w:tcW w:w="1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135 </w:t>
            </w:r>
          </w:p>
        </w:tc>
        <w:tc>
          <w:tcPr>
            <w:tcW w:w="204"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4,581</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4,719</w:t>
            </w:r>
            <w:r>
              <w:rPr>
                <w:color w:val="000000"/>
              </w:rPr>
              <w:t> </w:t>
            </w:r>
          </w:p>
        </w:tc>
        <w:tc>
          <w:tcPr>
            <w:tcW w:w="20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9" w:type="dxa"/>
            <w:gridSpan w:val="3"/>
            <w:tcBorders>
              <w:top w:val="doub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Commitments and Contingencies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double" w:sz="8" w:space="0" w:color="000000"/>
            </w:tcBorders>
            <w:shd w:fill="E1E1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double" w:sz="8" w:space="0" w:color="000000"/>
            </w:tcBorders>
            <w:shd w:fill="E1E1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Stockholders' 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r>
      <w:tr>
        <w:trPr/>
        <w:tc>
          <w:tcPr>
            <w:tcW w:w="5129" w:type="dxa"/>
            <w:gridSpan w:val="3"/>
            <w:tcBorders/>
            <w:shd w:fill="E1E1E2"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Common stock ($0.001 par value, 350,000,000 shares authorized) </w:t>
            </w:r>
            <w:r>
              <w:rPr>
                <w:rFonts w:ascii="Arial;sans-serif" w:hAnsi="Arial;sans-serif"/>
                <w:b w:val="false"/>
                <w:color w:val="000000"/>
                <w:sz w:val="10"/>
              </w:rPr>
              <w:t>(a)</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71" w:type="dxa"/>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53" w:type="dxa"/>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r>
      <w:tr>
        <w:trPr/>
        <w:tc>
          <w:tcPr>
            <w:tcW w:w="51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Additional paid-in capital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1,725 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9"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Accumulated retained earnings (deficit)</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(456)</w:t>
            </w:r>
          </w:p>
        </w:tc>
        <w:tc>
          <w:tcPr>
            <w:tcW w:w="1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(326)</w:t>
            </w:r>
          </w:p>
        </w:tc>
        <w:tc>
          <w:tcPr>
            <w:tcW w:w="204"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Accumulated other comprehensive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9" w:type="dxa"/>
            <w:gridSpan w:val="3"/>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Stockholders' Equity</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1,246</w:t>
            </w:r>
            <w:r>
              <w:rPr>
                <w:color w:val="000000"/>
              </w:rPr>
              <w:t> </w:t>
            </w:r>
          </w:p>
        </w:tc>
        <w:tc>
          <w:tcPr>
            <w:tcW w:w="109"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1E1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1,387</w:t>
            </w:r>
            <w:r>
              <w:rPr>
                <w:color w:val="000000"/>
              </w:rPr>
              <w:t> </w:t>
            </w:r>
          </w:p>
        </w:tc>
        <w:tc>
          <w:tcPr>
            <w:tcW w:w="204"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r>
      <w:tr>
        <w:trPr/>
        <w:tc>
          <w:tcPr>
            <w:tcW w:w="51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r>
      <w:tr>
        <w:trPr/>
        <w:tc>
          <w:tcPr>
            <w:tcW w:w="5129"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Liabilities and Stockholders'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5,827</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6,106</w:t>
            </w:r>
            <w:r>
              <w:rPr>
                <w:color w:val="000000"/>
              </w:rPr>
              <w:t> </w:t>
            </w:r>
          </w:p>
        </w:tc>
        <w:tc>
          <w:tcPr>
            <w:tcW w:w="2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Arial;sans-serif" w:hAnsi="Arial;sans-serif"/>
          <w:b w:val="false"/>
          <w:color w:val="000000"/>
          <w:sz w:val="14"/>
        </w:rPr>
      </w:pPr>
      <w:r>
        <w:rPr>
          <w:rFonts w:ascii="Arial;sans-serif" w:hAnsi="Arial;sans-serif"/>
          <w:b w:val="false"/>
          <w:color w:val="000000"/>
          <w:sz w:val="14"/>
        </w:rPr>
        <w:t>__________________</w:t>
      </w:r>
    </w:p>
    <w:p>
      <w:pPr>
        <w:pStyle w:val="TextBody"/>
        <w:bidi w:val="0"/>
        <w:spacing w:lineRule="auto" w:line="288" w:before="0" w:after="0"/>
        <w:ind w:left="0" w:right="0" w:hanging="360"/>
        <w:jc w:val="left"/>
        <w:rPr>
          <w:rFonts w:ascii="Arial;sans-serif" w:hAnsi="Arial;sans-serif"/>
          <w:b w:val="false"/>
          <w:color w:val="000000"/>
          <w:sz w:val="12"/>
        </w:rPr>
      </w:pPr>
      <w:r>
        <w:rPr>
          <w:rFonts w:ascii="Arial;sans-serif" w:hAnsi="Arial;sans-serif"/>
          <w:b w:val="false"/>
          <w:color w:val="000000"/>
          <w:sz w:val="12"/>
        </w:rPr>
        <w:t>(a)45,659,227 and 45,961,910 shares issued and outstanding as of June 30, 2025 and December 31, 2024, respectively.</w:t>
      </w:r>
    </w:p>
    <w:p>
      <w:pPr>
        <w:pStyle w:val="TextBody"/>
        <w:bidi w:val="0"/>
        <w:spacing w:before="0" w:after="180"/>
        <w:jc w:val="left"/>
        <w:rPr/>
      </w:pPr>
      <w:r>
        <w:rPr/>
      </w:r>
    </w:p>
    <w:p>
      <w:pPr>
        <w:pStyle w:val="TextBody"/>
        <w:bidi w:val="0"/>
        <w:spacing w:before="180" w:after="180"/>
        <w:jc w:val="center"/>
        <w:rPr/>
      </w:pPr>
      <w:r>
        <w:rPr/>
      </w:r>
    </w:p>
    <w:p>
      <w:pPr>
        <w:pStyle w:val="TextBody"/>
        <w:bidi w:val="0"/>
        <w:spacing w:before="180" w:after="180"/>
        <w:jc w:val="center"/>
        <w:rPr/>
      </w:pPr>
      <w:r>
        <w:rPr/>
      </w:r>
    </w:p>
    <w:p>
      <w:pPr>
        <w:pStyle w:val="TextBody"/>
        <w:bidi w:val="0"/>
        <w:spacing w:before="180" w:after="180"/>
        <w:jc w:val="center"/>
        <w:rPr/>
      </w:pPr>
      <w:r>
        <w:rPr/>
      </w:r>
    </w:p>
    <w:p>
      <w:pPr>
        <w:pStyle w:val="TextBody"/>
        <w:bidi w:val="0"/>
        <w:spacing w:before="180" w:after="180"/>
        <w:jc w:val="center"/>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31445"/>
                <wp:effectExtent l="0" t="0" r="0" b="0"/>
                <wp:wrapNone/>
                <wp:docPr id="9" name="Frame9"/>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18"/>
                              </w:rPr>
                            </w:pPr>
                            <w:r>
                              <w:rPr>
                                <w:rFonts w:ascii="Arial;sans-serif" w:hAnsi="Arial;sans-serif"/>
                                <w:b w:val="false"/>
                                <w:color w:val="000000"/>
                                <w:sz w:val="18"/>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18"/>
                        </w:rPr>
                      </w:pPr>
                      <w:r>
                        <w:rPr>
                          <w:rFonts w:ascii="Arial;sans-serif" w:hAnsi="Arial;sans-serif"/>
                          <w:b w:val="false"/>
                          <w:color w:val="000000"/>
                          <w:sz w:val="18"/>
                        </w:rPr>
                        <w:t>6</w:t>
                      </w:r>
                    </w:p>
                  </w:txbxContent>
                </v:textbox>
                <w10:wrap type="none"/>
              </v:rect>
            </w:pict>
          </mc:Fallback>
        </mc:AlternateContent>
      </w:r>
    </w:p>
    <w:p>
      <w:pPr>
        <w:pStyle w:val="TextBody"/>
        <w:bidi w:val="0"/>
        <w:spacing w:lineRule="auto" w:line="288" w:before="180" w:after="180"/>
        <w:jc w:val="center"/>
        <w:rPr>
          <w:rFonts w:ascii="Arial;sans-serif" w:hAnsi="Arial;sans-serif"/>
          <w:b/>
          <w:color w:val="000000"/>
          <w:sz w:val="18"/>
        </w:rPr>
      </w:pPr>
      <w:r>
        <w:rPr>
          <w:rFonts w:ascii="Arial;sans-serif" w:hAnsi="Arial;sans-serif"/>
          <w:b/>
          <w:color w:val="000000"/>
          <w:sz w:val="18"/>
        </w:rPr>
        <w:t>TALEN ENERGY CORPORATION AND SUBSIDIARIES</w:t>
      </w:r>
    </w:p>
    <w:p>
      <w:pPr>
        <w:pStyle w:val="TextBody"/>
        <w:bidi w:val="0"/>
        <w:spacing w:lineRule="auto" w:line="288" w:before="180" w:after="180"/>
        <w:jc w:val="center"/>
        <w:rPr>
          <w:rFonts w:ascii="Arial;sans-serif" w:hAnsi="Arial;sans-serif"/>
          <w:b/>
          <w:color w:val="000000"/>
          <w:sz w:val="18"/>
        </w:rPr>
      </w:pPr>
      <w:r>
        <w:rPr>
          <w:rFonts w:ascii="Arial;sans-serif" w:hAnsi="Arial;sans-serif"/>
          <w:b/>
          <w:color w:val="000000"/>
          <w:sz w:val="18"/>
        </w:rPr>
        <w:t>CONDENSED CONSOLIDATED STATEMENTS OF CASH FLOWS (UNAUDITED)</w:t>
      </w:r>
    </w:p>
    <w:tbl>
      <w:tblPr>
        <w:tblW w:w="10205" w:type="dxa"/>
        <w:jc w:val="left"/>
        <w:tblInd w:w="0" w:type="dxa"/>
        <w:tblLayout w:type="fixed"/>
        <w:tblCellMar>
          <w:top w:w="28" w:type="dxa"/>
          <w:left w:w="28" w:type="dxa"/>
          <w:bottom w:w="28" w:type="dxa"/>
          <w:right w:w="28" w:type="dxa"/>
        </w:tblCellMar>
      </w:tblPr>
      <w:tblGrid>
        <w:gridCol w:w="2578"/>
        <w:gridCol w:w="2240"/>
        <w:gridCol w:w="2247"/>
        <w:gridCol w:w="109"/>
        <w:gridCol w:w="109"/>
        <w:gridCol w:w="109"/>
        <w:gridCol w:w="223"/>
        <w:gridCol w:w="498"/>
        <w:gridCol w:w="124"/>
        <w:gridCol w:w="124"/>
        <w:gridCol w:w="124"/>
        <w:gridCol w:w="124"/>
        <w:gridCol w:w="223"/>
        <w:gridCol w:w="653"/>
        <w:gridCol w:w="124"/>
        <w:gridCol w:w="109"/>
        <w:gridCol w:w="109"/>
        <w:gridCol w:w="109"/>
        <w:gridCol w:w="109"/>
        <w:gridCol w:w="160"/>
      </w:tblGrid>
      <w:tr>
        <w:trPr/>
        <w:tc>
          <w:tcPr>
            <w:tcW w:w="2578" w:type="dxa"/>
            <w:tcBorders/>
            <w:vAlign w:val="center"/>
          </w:tcPr>
          <w:p>
            <w:pPr>
              <w:pStyle w:val="TableContents"/>
              <w:bidi w:val="0"/>
              <w:spacing w:before="0" w:after="283"/>
              <w:jc w:val="left"/>
              <w:rPr>
                <w:sz w:val="4"/>
                <w:szCs w:val="4"/>
              </w:rPr>
            </w:pPr>
            <w:r>
              <w:rPr>
                <w:sz w:val="4"/>
                <w:szCs w:val="4"/>
              </w:rPr>
            </w:r>
          </w:p>
        </w:tc>
        <w:tc>
          <w:tcPr>
            <w:tcW w:w="2240" w:type="dxa"/>
            <w:tcBorders/>
            <w:vAlign w:val="center"/>
          </w:tcPr>
          <w:p>
            <w:pPr>
              <w:pStyle w:val="TableContents"/>
              <w:bidi w:val="0"/>
              <w:spacing w:before="0" w:after="283"/>
              <w:jc w:val="left"/>
              <w:rPr>
                <w:sz w:val="4"/>
                <w:szCs w:val="4"/>
              </w:rPr>
            </w:pPr>
            <w:r>
              <w:rPr>
                <w:sz w:val="4"/>
                <w:szCs w:val="4"/>
              </w:rPr>
            </w:r>
          </w:p>
        </w:tc>
        <w:tc>
          <w:tcPr>
            <w:tcW w:w="22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0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gridSpan w:val="2"/>
            <w:tcBorders/>
          </w:tcPr>
          <w:p>
            <w:pPr>
              <w:pStyle w:val="TableContents"/>
              <w:bidi w:val="0"/>
              <w:spacing w:before="0" w:after="283"/>
              <w:jc w:val="left"/>
              <w:rPr>
                <w:sz w:val="4"/>
                <w:szCs w:val="4"/>
              </w:rPr>
            </w:pPr>
            <w:r>
              <w:rPr>
                <w:sz w:val="4"/>
                <w:szCs w:val="4"/>
              </w:rPr>
            </w:r>
          </w:p>
        </w:tc>
      </w:tr>
      <w:tr>
        <w:trPr/>
        <w:tc>
          <w:tcPr>
            <w:tcW w:w="706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(Millions of Dollars)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065" w:type="dxa"/>
            <w:gridSpan w:val="3"/>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Operating Activities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top w:val="single" w:sz="8" w:space="0" w:color="000000"/>
            </w:tcBorders>
            <w:shd w:fill="E1E1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top w:val="single" w:sz="8" w:space="0" w:color="000000"/>
            </w:tcBorders>
            <w:shd w:fill="E1E1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(63)</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777 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065"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Non-cash reconciliation adjustments: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Depreciation, amortization and accretion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141 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144 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065"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Unrealized (gains) losses on derivative instruments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103 </w:t>
            </w:r>
          </w:p>
        </w:tc>
        <w:tc>
          <w:tcPr>
            <w:tcW w:w="124"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36 </w:t>
            </w:r>
          </w:p>
        </w:tc>
        <w:tc>
          <w:tcPr>
            <w:tcW w:w="124"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Deferred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(66)</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94 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065"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Nuclear fuel amortization</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44 </w:t>
            </w:r>
          </w:p>
        </w:tc>
        <w:tc>
          <w:tcPr>
            <w:tcW w:w="124"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63 </w:t>
            </w:r>
          </w:p>
        </w:tc>
        <w:tc>
          <w:tcPr>
            <w:tcW w:w="124"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Nuclear decommissioning trust funds (gain) loss, net (excluding interest and fees)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(80)</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065"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(Gain) loss on AWS Data Campus Sale and ERCOT Sale</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(886)</w:t>
            </w:r>
          </w:p>
        </w:tc>
        <w:tc>
          <w:tcPr>
            <w:tcW w:w="124"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0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5"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0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0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5"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0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0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5"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0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0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5"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0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(58)</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065"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Changes in assets and liabilities: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Accounts receivable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(103)</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065"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Inventory, net</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78 </w:t>
            </w:r>
          </w:p>
        </w:tc>
        <w:tc>
          <w:tcPr>
            <w:tcW w:w="124"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90 </w:t>
            </w:r>
          </w:p>
        </w:tc>
        <w:tc>
          <w:tcPr>
            <w:tcW w:w="124"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065"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Accounts payable and accrued liabilities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(57)</w:t>
            </w:r>
          </w:p>
        </w:tc>
        <w:tc>
          <w:tcPr>
            <w:tcW w:w="124"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(114)</w:t>
            </w:r>
          </w:p>
        </w:tc>
        <w:tc>
          <w:tcPr>
            <w:tcW w:w="124"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Accrued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065"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Collateral received (posted), net</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(58)</w:t>
            </w:r>
          </w:p>
        </w:tc>
        <w:tc>
          <w:tcPr>
            <w:tcW w:w="124"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35 </w:t>
            </w:r>
          </w:p>
        </w:tc>
        <w:tc>
          <w:tcPr>
            <w:tcW w:w="124"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(101)</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06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cash provided by (used in) operating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(65)</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150</w:t>
            </w:r>
            <w:r>
              <w:rPr>
                <w:color w:val="000000"/>
              </w:rPr>
              <w:t>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065" w:type="dxa"/>
            <w:gridSpan w:val="3"/>
            <w:tcBorders>
              <w:top w:val="doub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Investing Activities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top w:val="double" w:sz="8" w:space="0" w:color="000000"/>
            </w:tcBorders>
            <w:shd w:fill="E1E1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top w:val="double" w:sz="8" w:space="0" w:color="000000"/>
            </w:tcBorders>
            <w:shd w:fill="E1E1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Nuclear decommissioning trust funds investment purchases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(1,201)</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(1,110)</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065"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Nuclear decommissioning trust funds investment sale proceeds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1,186 </w:t>
            </w:r>
          </w:p>
        </w:tc>
        <w:tc>
          <w:tcPr>
            <w:tcW w:w="124"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1,095 </w:t>
            </w:r>
          </w:p>
        </w:tc>
        <w:tc>
          <w:tcPr>
            <w:tcW w:w="124"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Nuclear fuel expenditures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065"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Property, plant and equipment expenditures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w:t>
            </w:r>
          </w:p>
        </w:tc>
        <w:tc>
          <w:tcPr>
            <w:tcW w:w="124"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w:t>
            </w:r>
          </w:p>
        </w:tc>
        <w:tc>
          <w:tcPr>
            <w:tcW w:w="124"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0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5"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0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0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5"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0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Proceeds from AWS Data Campus Sale and ERCOT Sale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1,089 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0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5"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0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065"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124"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w:t>
            </w:r>
          </w:p>
        </w:tc>
        <w:tc>
          <w:tcPr>
            <w:tcW w:w="124"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06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cash provided by (used in) 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(114)</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979</w:t>
            </w:r>
            <w:r>
              <w:rPr>
                <w:color w:val="000000"/>
              </w:rPr>
              <w:t>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065" w:type="dxa"/>
            <w:gridSpan w:val="3"/>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Financing Activities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top w:val="single" w:sz="8" w:space="0" w:color="000000"/>
            </w:tcBorders>
            <w:shd w:fill="E1E1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top w:val="single" w:sz="8" w:space="0" w:color="000000"/>
            </w:tcBorders>
            <w:shd w:fill="E1E1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Share repurchases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(103)</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(654)</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065"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Revolving credit facility borrowings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75 </w:t>
            </w:r>
          </w:p>
        </w:tc>
        <w:tc>
          <w:tcPr>
            <w:tcW w:w="124"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Revolving credit facility repayments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065"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Debt repayments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w:t>
            </w:r>
          </w:p>
        </w:tc>
        <w:tc>
          <w:tcPr>
            <w:tcW w:w="124"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Deferred financing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065"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Cumulus Digital TLF repayment</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(182)</w:t>
            </w:r>
          </w:p>
        </w:tc>
        <w:tc>
          <w:tcPr>
            <w:tcW w:w="124"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Repurchase of noncontrolling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065"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Cash settlement of restricted stock units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w:t>
            </w:r>
          </w:p>
        </w:tc>
        <w:tc>
          <w:tcPr>
            <w:tcW w:w="124"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065" w:type="dxa"/>
            <w:gridSpan w:val="3"/>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cash provided by (used in) financing activities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(51)</w:t>
            </w:r>
          </w:p>
        </w:tc>
        <w:tc>
          <w:tcPr>
            <w:tcW w:w="124"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(915)</w:t>
            </w:r>
          </w:p>
        </w:tc>
        <w:tc>
          <w:tcPr>
            <w:tcW w:w="124"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ind w:left="0" w:right="0" w:hanging="90"/>
              <w:jc w:val="left"/>
              <w:rPr>
                <w:sz w:val="4"/>
                <w:szCs w:val="4"/>
              </w:rPr>
            </w:pPr>
            <w:r>
              <w:rPr>
                <w:sz w:val="4"/>
                <w:szCs w:val="4"/>
              </w:rPr>
            </w:r>
          </w:p>
        </w:tc>
      </w:tr>
      <w:tr>
        <w:trPr/>
        <w:tc>
          <w:tcPr>
            <w:tcW w:w="7065" w:type="dxa"/>
            <w:gridSpan w:val="3"/>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increase (decrease) in cash and cash equivalents and restricted cash and cash equivalents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(230)</w:t>
            </w:r>
          </w:p>
        </w:tc>
        <w:tc>
          <w:tcPr>
            <w:tcW w:w="124" w:type="dxa"/>
            <w:tcBorders>
              <w:top w:val="doub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214</w:t>
            </w:r>
            <w:r>
              <w:rPr>
                <w:color w:val="000000"/>
              </w:rPr>
              <w:t> </w:t>
            </w:r>
          </w:p>
        </w:tc>
        <w:tc>
          <w:tcPr>
            <w:tcW w:w="124" w:type="dxa"/>
            <w:tcBorders>
              <w:top w:val="doub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ind w:left="0" w:right="0" w:hanging="90"/>
              <w:jc w:val="left"/>
              <w:rPr>
                <w:sz w:val="4"/>
                <w:szCs w:val="4"/>
              </w:rPr>
            </w:pPr>
            <w:r>
              <w:rPr>
                <w:sz w:val="4"/>
                <w:szCs w:val="4"/>
              </w:rPr>
            </w:r>
          </w:p>
        </w:tc>
      </w:tr>
      <w:tr>
        <w:trPr/>
        <w:tc>
          <w:tcPr>
            <w:tcW w:w="7065"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Beginning of period cash and cash equivalents and restricted cash and cash equivalents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365</w:t>
            </w:r>
            <w:r>
              <w:rPr>
                <w:color w:val="000000"/>
              </w:rPr>
              <w:t> </w:t>
            </w:r>
          </w:p>
        </w:tc>
        <w:tc>
          <w:tcPr>
            <w:tcW w:w="124"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901</w:t>
            </w:r>
            <w:r>
              <w:rPr>
                <w:color w:val="000000"/>
              </w:rPr>
              <w:t> </w:t>
            </w:r>
          </w:p>
        </w:tc>
        <w:tc>
          <w:tcPr>
            <w:tcW w:w="124"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ind w:left="0" w:right="0" w:hanging="90"/>
              <w:jc w:val="left"/>
              <w:rPr>
                <w:sz w:val="4"/>
                <w:szCs w:val="4"/>
              </w:rPr>
            </w:pPr>
            <w:r>
              <w:rPr>
                <w:sz w:val="4"/>
                <w:szCs w:val="4"/>
              </w:rPr>
            </w:r>
          </w:p>
        </w:tc>
      </w:tr>
      <w:tr>
        <w:trPr/>
        <w:tc>
          <w:tcPr>
            <w:tcW w:w="7065"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End of period cash and cash equivalents and restricted 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4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135</w:t>
            </w:r>
            <w:r>
              <w:rPr>
                <w:color w:val="000000"/>
              </w:rPr>
              <w:t> </w:t>
            </w:r>
          </w:p>
        </w:tc>
        <w:tc>
          <w:tcPr>
            <w:tcW w:w="1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1,115</w:t>
            </w:r>
            <w:r>
              <w:rPr>
                <w:color w:val="000000"/>
              </w:rPr>
              <w:t> </w:t>
            </w:r>
          </w:p>
        </w:tc>
        <w:tc>
          <w:tcPr>
            <w:tcW w:w="1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180"/>
        <w:jc w:val="left"/>
        <w:rPr/>
      </w:pPr>
      <w:r>
        <w:rPr/>
      </w:r>
    </w:p>
    <w:p>
      <w:pPr>
        <w:pStyle w:val="TextBody"/>
        <w:bidi w:val="0"/>
        <w:spacing w:before="180" w:after="18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31445"/>
                <wp:effectExtent l="0" t="0" r="0" b="0"/>
                <wp:wrapNone/>
                <wp:docPr id="10" name="Frame10"/>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18"/>
                              </w:rPr>
                            </w:pPr>
                            <w:r>
                              <w:rPr>
                                <w:rFonts w:ascii="Arial;sans-serif" w:hAnsi="Arial;sans-serif"/>
                                <w:b w:val="false"/>
                                <w:color w:val="000000"/>
                                <w:sz w:val="18"/>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18"/>
                        </w:rPr>
                      </w:pPr>
                      <w:r>
                        <w:rPr>
                          <w:rFonts w:ascii="Arial;sans-serif" w:hAnsi="Arial;sans-serif"/>
                          <w:b w:val="false"/>
                          <w:color w:val="000000"/>
                          <w:sz w:val="18"/>
                        </w:rPr>
                        <w:t>7</w:t>
                      </w:r>
                    </w:p>
                  </w:txbxContent>
                </v:textbox>
                <w10:wrap type="none"/>
              </v:rect>
            </w:pict>
          </mc:Fallback>
        </mc:AlternateContent>
      </w:r>
    </w:p>
    <w:p>
      <w:pPr>
        <w:pStyle w:val="TextBody"/>
        <w:bidi w:val="0"/>
        <w:spacing w:lineRule="auto" w:line="288" w:before="0" w:after="180"/>
        <w:jc w:val="left"/>
        <w:rPr>
          <w:rFonts w:ascii="Arial;sans-serif" w:hAnsi="Arial;sans-serif"/>
          <w:b/>
          <w:color w:val="000000"/>
          <w:sz w:val="18"/>
        </w:rPr>
      </w:pPr>
      <w:r>
        <w:rPr>
          <w:rFonts w:ascii="Arial;sans-serif" w:hAnsi="Arial;sans-serif"/>
          <w:b/>
          <w:color w:val="000000"/>
          <w:sz w:val="18"/>
        </w:rPr>
        <w:t>Non-GAAP Financial Measures</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Adjusted EBITDA and Adjusted Free Cash Flow, which we use as measures of our performance and liquidity, are not financial measures prepared under GAAP. Non-GAAP financial measures do not have definitions under GAAP and may be defined and calculated differently by, and not be comparable to, similarly titled measures used by other companies. Non-GAAP measures are not intended to replace the most comparable GAAP measures as indicators of performance. Generally, a non-GAAP financial measure is a numerical measure of financial performance, financial position, or cash flows that excludes (or includes) amounts that are included in (or excluded from) the most directly comparable measure calculated and presented in accordance with GAAP. Management cautions readers not to place undue reliance on the following non-GAAP financial measures, but to also consider them along with their most directly comparable GAAP financial measures. Non-GAAP measures have limitations as analytical tools and should not be considered in isolation or as a substitute for analyzing our results as reported under GAAP.</w:t>
      </w:r>
    </w:p>
    <w:p>
      <w:pPr>
        <w:pStyle w:val="TextBody"/>
        <w:bidi w:val="0"/>
        <w:spacing w:lineRule="auto" w:line="288" w:before="0" w:after="180"/>
        <w:jc w:val="left"/>
        <w:rPr>
          <w:rFonts w:ascii="Arial;sans-serif" w:hAnsi="Arial;sans-serif"/>
          <w:b/>
          <w:i/>
          <w:color w:val="000000"/>
          <w:sz w:val="18"/>
        </w:rPr>
      </w:pPr>
      <w:r>
        <w:rPr>
          <w:rFonts w:ascii="Arial;sans-serif" w:hAnsi="Arial;sans-serif"/>
          <w:b/>
          <w:i/>
          <w:color w:val="000000"/>
          <w:sz w:val="18"/>
        </w:rPr>
        <w:t>Adjusted EBITDA</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We use Adjusted EBITDA to: (i) assist in comparing operating performance and readily view operating trends on a consistent basis from period to period without certain items that may distort financial results; (ii) plan and forecast overall expectations and evaluate actual results against such expectations; (iii) communicate with our Board of Directors, shareholders, creditors, analysts, and the broader financial community concerning our financial performance; (iv) set performance metrics for our annual short-term incentive compensation; and (v) assess compliance with our indebtedness.</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Adjusted EBITDA is computed as net income (loss) adjusted, among other things, for certain: (i) nonrecurring charges; (ii) non-recurring gains; (iii) non-cash and other items; (iv) unusual market events; (v) any depreciation, amortization, or accretion; (vi) mark-to-market gains or losses; (vii) gains and losses on the nuclear facility decommissioning trust (“NDT”); (viii) gains and losses on asset sales, dispositions, and asset retirement; (ix) impairments, obsolescence, and net realizable value charges; (x) interest expense; (xi) income taxes; (xii) legal settlements, liquidated damages, and contractual terminations; (xiii) development expenses; (xiv) noncontrolling interests, except where otherwise noted; and (xv) other adjustments. Such adjustments are computed consistently with the provisions of our indebtedness to the extent that they can be derived from the financial records of the business. Pursuant to TES’s debt agreements, Cumulus Digital contributes to Adjusted EBITDA beginning in the first quarter 2024, following termination of the Cumulus Digital credit facility and associated cash flow sweep.</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Additionally, we believe investors commonly adjust net income (loss) information to eliminate the effect of nonrecurring restructuring expenses and other non-cash charges, which can vary widely from company to company and from period to period and impair comparability. We believe Adjusted EBITDA is useful to investors and other users of our financial statements to evaluate our operating performance because it provides an additional tool to compare business performance across companies and between periods. Adjusted EBITDA is widely used by investors to measure a company’s operating performance without regard to such items described above. These adjustments can vary substantially from company to company and period to period depending upon accounting policies, book value of assets, capital structure, and the method by which assets were acquired.</w:t>
      </w:r>
    </w:p>
    <w:p>
      <w:pPr>
        <w:pStyle w:val="TextBody"/>
        <w:bidi w:val="0"/>
        <w:spacing w:lineRule="auto" w:line="288" w:before="0" w:after="180"/>
        <w:jc w:val="left"/>
        <w:rPr>
          <w:rFonts w:ascii="Arial;sans-serif" w:hAnsi="Arial;sans-serif"/>
          <w:b/>
          <w:i/>
          <w:color w:val="000000"/>
          <w:sz w:val="18"/>
        </w:rPr>
      </w:pPr>
      <w:r>
        <w:rPr>
          <w:rFonts w:ascii="Arial;sans-serif" w:hAnsi="Arial;sans-serif"/>
          <w:b/>
          <w:i/>
          <w:color w:val="000000"/>
          <w:sz w:val="18"/>
        </w:rPr>
        <w:t>Adjusted Free Cash Flow</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Adjusted Free Cash Flow is utilized by our chief operating decision makers to evaluate cash flow activities. Adjusted Free Cash Flow is computed as Adjusted EBITDA reduced by capital expenditures (including nuclear fuel but excluding development, growth, and (or) conversion capital expenditures), cash payments for interest and finance charges, cash payments for income taxes (excluding income taxes paid from the NDT, taxes paid or deductions taken as a result of strategic asset sales, and benefits of the Nuclear PTC utilized to reduce income taxes paid), and pension contributions.</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We believe Adjusted Free Cash Flow is useful to investors and other users of our financial statements in evaluating our operating performance because it provides them with an additional tool to determine a company’s ability to meet future obligations and to compare business performance across companies and across periods. Adjusted Free Cash Flow is widely used by investors to measure a company’s levered cash flow without regard to items such as ARO settlements; nonrecurring development, growth and conversion expenditures; and cash proceeds or payments for the sale or purchase of assets, which can vary substantially from company to company and from period to period depending upon accounting methods, book value of assets, capital structure, and the method by which assets were acquired.</w:t>
      </w:r>
    </w:p>
    <w:p>
      <w:pPr>
        <w:pStyle w:val="TextBody"/>
        <w:bidi w:val="0"/>
        <w:spacing w:before="0" w:after="0"/>
        <w:jc w:val="righ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31445"/>
                <wp:effectExtent l="0" t="0" r="0" b="0"/>
                <wp:wrapNone/>
                <wp:docPr id="11" name="Frame11"/>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18"/>
                              </w:rPr>
                            </w:pPr>
                            <w:r>
                              <w:rPr>
                                <w:rFonts w:ascii="Arial;sans-serif" w:hAnsi="Arial;sans-serif"/>
                                <w:b w:val="false"/>
                                <w:color w:val="000000"/>
                                <w:sz w:val="18"/>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18"/>
                        </w:rPr>
                      </w:pPr>
                      <w:r>
                        <w:rPr>
                          <w:rFonts w:ascii="Arial;sans-serif" w:hAnsi="Arial;sans-serif"/>
                          <w:b w:val="false"/>
                          <w:color w:val="000000"/>
                          <w:sz w:val="18"/>
                        </w:rPr>
                        <w:t>8</w:t>
                      </w:r>
                    </w:p>
                  </w:txbxContent>
                </v:textbox>
                <w10:wrap type="none"/>
              </v:rect>
            </w:pict>
          </mc:Fallback>
        </mc:AlternateContent>
      </w:r>
    </w:p>
    <w:p>
      <w:pPr>
        <w:pStyle w:val="TextBody"/>
        <w:bidi w:val="0"/>
        <w:spacing w:lineRule="auto" w:line="288" w:before="0" w:after="180"/>
        <w:jc w:val="left"/>
        <w:rPr>
          <w:rFonts w:ascii="Arial;sans-serif" w:hAnsi="Arial;sans-serif"/>
          <w:b/>
          <w:i/>
          <w:color w:val="000000"/>
          <w:sz w:val="18"/>
        </w:rPr>
      </w:pPr>
      <w:r>
        <w:rPr>
          <w:rFonts w:ascii="Arial;sans-serif" w:hAnsi="Arial;sans-serif"/>
          <w:b/>
          <w:i/>
          <w:color w:val="000000"/>
          <w:sz w:val="18"/>
        </w:rPr>
        <w:t>Adjusted EBITDA / Adjusted Free Cash Flow Reconciliation</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The following table presents a reconciliation of the GAAP financial measure of “Net Income (Loss)” presented on the Consolidated Statements of Operations to the non-GAAP financial measures of Adjusted EBITDA and Adjusted Free Cash Flow:</w:t>
      </w:r>
    </w:p>
    <w:tbl>
      <w:tblPr>
        <w:tblW w:w="10205" w:type="dxa"/>
        <w:jc w:val="left"/>
        <w:tblInd w:w="0" w:type="dxa"/>
        <w:tblLayout w:type="fixed"/>
        <w:tblCellMar>
          <w:top w:w="28" w:type="dxa"/>
          <w:left w:w="28" w:type="dxa"/>
          <w:bottom w:w="28" w:type="dxa"/>
          <w:right w:w="28" w:type="dxa"/>
        </w:tblCellMar>
      </w:tblPr>
      <w:tblGrid>
        <w:gridCol w:w="1631"/>
        <w:gridCol w:w="1392"/>
        <w:gridCol w:w="1370"/>
        <w:gridCol w:w="109"/>
        <w:gridCol w:w="109"/>
        <w:gridCol w:w="109"/>
        <w:gridCol w:w="266"/>
        <w:gridCol w:w="543"/>
        <w:gridCol w:w="147"/>
        <w:gridCol w:w="147"/>
        <w:gridCol w:w="147"/>
        <w:gridCol w:w="147"/>
        <w:gridCol w:w="266"/>
        <w:gridCol w:w="573"/>
        <w:gridCol w:w="147"/>
        <w:gridCol w:w="109"/>
        <w:gridCol w:w="109"/>
        <w:gridCol w:w="109"/>
        <w:gridCol w:w="235"/>
        <w:gridCol w:w="525"/>
        <w:gridCol w:w="130"/>
        <w:gridCol w:w="130"/>
        <w:gridCol w:w="130"/>
        <w:gridCol w:w="130"/>
        <w:gridCol w:w="235"/>
        <w:gridCol w:w="525"/>
        <w:gridCol w:w="130"/>
        <w:gridCol w:w="109"/>
        <w:gridCol w:w="109"/>
        <w:gridCol w:w="109"/>
        <w:gridCol w:w="109"/>
        <w:gridCol w:w="169"/>
      </w:tblGrid>
      <w:tr>
        <w:trPr/>
        <w:tc>
          <w:tcPr>
            <w:tcW w:w="1631" w:type="dxa"/>
            <w:tcBorders/>
            <w:vAlign w:val="center"/>
          </w:tcPr>
          <w:p>
            <w:pPr>
              <w:pStyle w:val="TableContents"/>
              <w:bidi w:val="0"/>
              <w:spacing w:before="0" w:after="283"/>
              <w:jc w:val="left"/>
              <w:rPr>
                <w:sz w:val="4"/>
                <w:szCs w:val="4"/>
              </w:rPr>
            </w:pPr>
            <w:r>
              <w:rPr>
                <w:sz w:val="4"/>
                <w:szCs w:val="4"/>
              </w:rPr>
            </w:r>
          </w:p>
        </w:tc>
        <w:tc>
          <w:tcPr>
            <w:tcW w:w="1392"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4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3" w:type="dxa"/>
            <w:gridSpan w:val="9"/>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Arial;sans-serif" w:hAnsi="Arial;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gridSpan w:val="2"/>
            <w:tcBorders/>
          </w:tcPr>
          <w:p>
            <w:pPr>
              <w:pStyle w:val="TableContents"/>
              <w:bidi w:val="0"/>
              <w:spacing w:before="0" w:after="283"/>
              <w:jc w:val="left"/>
              <w:rPr>
                <w:sz w:val="4"/>
                <w:szCs w:val="4"/>
              </w:rPr>
            </w:pPr>
            <w:r>
              <w:rPr>
                <w:sz w:val="4"/>
                <w:szCs w:val="4"/>
              </w:rPr>
            </w:r>
          </w:p>
        </w:tc>
      </w:tr>
      <w:tr>
        <w:trPr/>
        <w:tc>
          <w:tcPr>
            <w:tcW w:w="43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(Millions of Dollars)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4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4393" w:type="dxa"/>
            <w:gridSpan w:val="3"/>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Income (Loss)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43"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72 </w:t>
            </w:r>
          </w:p>
        </w:tc>
        <w:tc>
          <w:tcPr>
            <w:tcW w:w="147"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73"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458 </w:t>
            </w:r>
          </w:p>
        </w:tc>
        <w:tc>
          <w:tcPr>
            <w:tcW w:w="147"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25"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(63)</w:t>
            </w:r>
          </w:p>
        </w:tc>
        <w:tc>
          <w:tcPr>
            <w:tcW w:w="130"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25"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777 </w:t>
            </w:r>
          </w:p>
        </w:tc>
        <w:tc>
          <w:tcPr>
            <w:tcW w:w="130"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439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Adjustments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4393"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expense and other finance charges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62 </w:t>
            </w:r>
          </w:p>
        </w:tc>
        <w:tc>
          <w:tcPr>
            <w:tcW w:w="147"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62 </w:t>
            </w:r>
          </w:p>
        </w:tc>
        <w:tc>
          <w:tcPr>
            <w:tcW w:w="147"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136 </w:t>
            </w:r>
          </w:p>
        </w:tc>
        <w:tc>
          <w:tcPr>
            <w:tcW w:w="130"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121 </w:t>
            </w:r>
          </w:p>
        </w:tc>
        <w:tc>
          <w:tcPr>
            <w:tcW w:w="130"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43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Income tax (benefit)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112 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181 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4393" w:type="dxa"/>
            <w:gridSpan w:val="3"/>
            <w:tcBorders/>
            <w:shd w:fill="E1E1E2"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Depreciation, amortization and accretion</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70 </w:t>
            </w:r>
          </w:p>
        </w:tc>
        <w:tc>
          <w:tcPr>
            <w:tcW w:w="147"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75 </w:t>
            </w:r>
          </w:p>
        </w:tc>
        <w:tc>
          <w:tcPr>
            <w:tcW w:w="147"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144 </w:t>
            </w:r>
          </w:p>
        </w:tc>
        <w:tc>
          <w:tcPr>
            <w:tcW w:w="130"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150 </w:t>
            </w:r>
          </w:p>
        </w:tc>
        <w:tc>
          <w:tcPr>
            <w:tcW w:w="130"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43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Nuclear fuel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63 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43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6" w:type="dxa"/>
            <w:gridSpan w:val="3"/>
            <w:tcBorders/>
            <w:vAlign w:val="center"/>
          </w:tcPr>
          <w:p>
            <w:pPr>
              <w:pStyle w:val="TableContents"/>
              <w:bidi w:val="0"/>
              <w:spacing w:before="0" w:after="283"/>
              <w:jc w:val="left"/>
              <w:rPr>
                <w:sz w:val="4"/>
                <w:szCs w:val="4"/>
              </w:rPr>
            </w:pPr>
            <w:r>
              <w:rPr>
                <w:sz w:val="4"/>
                <w:szCs w:val="4"/>
              </w:rPr>
            </w:r>
          </w:p>
        </w:tc>
        <w:tc>
          <w:tcPr>
            <w:tcW w:w="441" w:type="dxa"/>
            <w:gridSpan w:val="3"/>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8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ind w:left="0" w:right="0" w:hanging="90"/>
              <w:jc w:val="left"/>
              <w:rPr>
                <w:sz w:val="4"/>
                <w:szCs w:val="4"/>
              </w:rPr>
            </w:pPr>
            <w:r>
              <w:rPr>
                <w:sz w:val="4"/>
                <w:szCs w:val="4"/>
              </w:rPr>
            </w:r>
          </w:p>
        </w:tc>
      </w:tr>
      <w:tr>
        <w:trPr/>
        <w:tc>
          <w:tcPr>
            <w:tcW w:w="4393"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Unrealized (gain) loss on commodity derivative contracts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(92)</w:t>
            </w:r>
          </w:p>
        </w:tc>
        <w:tc>
          <w:tcPr>
            <w:tcW w:w="147"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(91)</w:t>
            </w:r>
          </w:p>
        </w:tc>
        <w:tc>
          <w:tcPr>
            <w:tcW w:w="147"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90 </w:t>
            </w:r>
          </w:p>
        </w:tc>
        <w:tc>
          <w:tcPr>
            <w:tcW w:w="130"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44 </w:t>
            </w:r>
          </w:p>
        </w:tc>
        <w:tc>
          <w:tcPr>
            <w:tcW w:w="130"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ind w:left="0" w:right="0" w:hanging="90"/>
              <w:jc w:val="left"/>
              <w:rPr>
                <w:sz w:val="4"/>
                <w:szCs w:val="4"/>
              </w:rPr>
            </w:pPr>
            <w:r>
              <w:rPr>
                <w:sz w:val="4"/>
                <w:szCs w:val="4"/>
              </w:rPr>
            </w:r>
          </w:p>
        </w:tc>
      </w:tr>
      <w:tr>
        <w:trPr/>
        <w:tc>
          <w:tcPr>
            <w:tcW w:w="43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Nuclear decommissioning trust funds (gain) loss,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(80)</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(68)</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(102)</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4393"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Stock-based and other long-term incentive compensation expense</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18 </w:t>
            </w:r>
          </w:p>
        </w:tc>
        <w:tc>
          <w:tcPr>
            <w:tcW w:w="147"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14 </w:t>
            </w:r>
          </w:p>
        </w:tc>
        <w:tc>
          <w:tcPr>
            <w:tcW w:w="147"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31 </w:t>
            </w:r>
          </w:p>
        </w:tc>
        <w:tc>
          <w:tcPr>
            <w:tcW w:w="130"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32 </w:t>
            </w:r>
          </w:p>
        </w:tc>
        <w:tc>
          <w:tcPr>
            <w:tcW w:w="130"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43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6" w:type="dxa"/>
            <w:gridSpan w:val="3"/>
            <w:tcBorders/>
            <w:vAlign w:val="center"/>
          </w:tcPr>
          <w:p>
            <w:pPr>
              <w:pStyle w:val="TableContents"/>
              <w:bidi w:val="0"/>
              <w:spacing w:before="0" w:after="283"/>
              <w:jc w:val="left"/>
              <w:rPr>
                <w:sz w:val="4"/>
                <w:szCs w:val="4"/>
              </w:rPr>
            </w:pPr>
            <w:r>
              <w:rPr>
                <w:sz w:val="4"/>
                <w:szCs w:val="4"/>
              </w:rPr>
            </w:r>
          </w:p>
        </w:tc>
        <w:tc>
          <w:tcPr>
            <w:tcW w:w="441" w:type="dxa"/>
            <w:gridSpan w:val="3"/>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8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43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6" w:type="dxa"/>
            <w:gridSpan w:val="3"/>
            <w:tcBorders/>
            <w:vAlign w:val="center"/>
          </w:tcPr>
          <w:p>
            <w:pPr>
              <w:pStyle w:val="TableContents"/>
              <w:bidi w:val="0"/>
              <w:spacing w:before="0" w:after="283"/>
              <w:jc w:val="left"/>
              <w:rPr>
                <w:sz w:val="4"/>
                <w:szCs w:val="4"/>
              </w:rPr>
            </w:pPr>
            <w:r>
              <w:rPr>
                <w:sz w:val="4"/>
                <w:szCs w:val="4"/>
              </w:rPr>
            </w:r>
          </w:p>
        </w:tc>
        <w:tc>
          <w:tcPr>
            <w:tcW w:w="441" w:type="dxa"/>
            <w:gridSpan w:val="3"/>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8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439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(Gain) loss on asset sales, net</w:t>
            </w:r>
            <w:r>
              <w:rPr>
                <w:color w:val="000000"/>
              </w:rPr>
              <w:t xml:space="preserve"> </w:t>
            </w:r>
            <w:r>
              <w:rPr>
                <w:rFonts w:ascii="Arial;sans-serif" w:hAnsi="Arial;sans-serif"/>
                <w:b w:val="false"/>
                <w:color w:val="000000"/>
                <w:sz w:val="10"/>
              </w:rPr>
              <w:t>(a)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(561)</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(885)</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43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6" w:type="dxa"/>
            <w:gridSpan w:val="3"/>
            <w:tcBorders/>
            <w:vAlign w:val="center"/>
          </w:tcPr>
          <w:p>
            <w:pPr>
              <w:pStyle w:val="TableContents"/>
              <w:bidi w:val="0"/>
              <w:spacing w:before="0" w:after="283"/>
              <w:jc w:val="left"/>
              <w:rPr>
                <w:sz w:val="4"/>
                <w:szCs w:val="4"/>
              </w:rPr>
            </w:pPr>
            <w:r>
              <w:rPr>
                <w:sz w:val="4"/>
                <w:szCs w:val="4"/>
              </w:rPr>
            </w:r>
          </w:p>
        </w:tc>
        <w:tc>
          <w:tcPr>
            <w:tcW w:w="441" w:type="dxa"/>
            <w:gridSpan w:val="3"/>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8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43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6" w:type="dxa"/>
            <w:gridSpan w:val="3"/>
            <w:tcBorders/>
            <w:vAlign w:val="center"/>
          </w:tcPr>
          <w:p>
            <w:pPr>
              <w:pStyle w:val="TableContents"/>
              <w:bidi w:val="0"/>
              <w:spacing w:before="0" w:after="283"/>
              <w:jc w:val="left"/>
              <w:rPr>
                <w:sz w:val="4"/>
                <w:szCs w:val="4"/>
              </w:rPr>
            </w:pPr>
            <w:r>
              <w:rPr>
                <w:sz w:val="4"/>
                <w:szCs w:val="4"/>
              </w:rPr>
            </w:r>
          </w:p>
        </w:tc>
        <w:tc>
          <w:tcPr>
            <w:tcW w:w="441" w:type="dxa"/>
            <w:gridSpan w:val="3"/>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8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43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6" w:type="dxa"/>
            <w:gridSpan w:val="3"/>
            <w:tcBorders/>
            <w:vAlign w:val="center"/>
          </w:tcPr>
          <w:p>
            <w:pPr>
              <w:pStyle w:val="TableContents"/>
              <w:bidi w:val="0"/>
              <w:spacing w:before="0" w:after="283"/>
              <w:jc w:val="left"/>
              <w:rPr>
                <w:sz w:val="4"/>
                <w:szCs w:val="4"/>
              </w:rPr>
            </w:pPr>
            <w:r>
              <w:rPr>
                <w:sz w:val="4"/>
                <w:szCs w:val="4"/>
              </w:rPr>
            </w:r>
          </w:p>
        </w:tc>
        <w:tc>
          <w:tcPr>
            <w:tcW w:w="441" w:type="dxa"/>
            <w:gridSpan w:val="3"/>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8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43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6" w:type="dxa"/>
            <w:gridSpan w:val="3"/>
            <w:tcBorders/>
            <w:vAlign w:val="center"/>
          </w:tcPr>
          <w:p>
            <w:pPr>
              <w:pStyle w:val="TableContents"/>
              <w:bidi w:val="0"/>
              <w:spacing w:before="0" w:after="283"/>
              <w:jc w:val="left"/>
              <w:rPr>
                <w:sz w:val="4"/>
                <w:szCs w:val="4"/>
              </w:rPr>
            </w:pPr>
            <w:r>
              <w:rPr>
                <w:sz w:val="4"/>
                <w:szCs w:val="4"/>
              </w:rPr>
            </w:r>
          </w:p>
        </w:tc>
        <w:tc>
          <w:tcPr>
            <w:tcW w:w="441" w:type="dxa"/>
            <w:gridSpan w:val="3"/>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8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4393" w:type="dxa"/>
            <w:gridSpan w:val="3"/>
            <w:tcBorders/>
            <w:shd w:fill="E1E1E2"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Arial;sans-serif" w:hAnsi="Arial;sans-serif"/>
                <w:b w:val="false"/>
                <w:color w:val="000000"/>
                <w:sz w:val="16"/>
              </w:rPr>
            </w:pPr>
            <w:r>
              <w:rPr>
                <w:rFonts w:ascii="Arial;sans-serif" w:hAnsi="Arial;sans-serif"/>
                <w:b w:val="false"/>
                <w:color w:val="000000"/>
                <w:sz w:val="16"/>
              </w:rPr>
              <w:t>Operational and other restructuring activities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19 </w:t>
            </w:r>
          </w:p>
        </w:tc>
        <w:tc>
          <w:tcPr>
            <w:tcW w:w="147"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9 </w:t>
            </w:r>
          </w:p>
        </w:tc>
        <w:tc>
          <w:tcPr>
            <w:tcW w:w="130"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21 </w:t>
            </w:r>
          </w:p>
        </w:tc>
        <w:tc>
          <w:tcPr>
            <w:tcW w:w="130"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43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6" w:type="dxa"/>
            <w:gridSpan w:val="3"/>
            <w:tcBorders/>
            <w:vAlign w:val="center"/>
          </w:tcPr>
          <w:p>
            <w:pPr>
              <w:pStyle w:val="TableContents"/>
              <w:bidi w:val="0"/>
              <w:spacing w:before="0" w:after="283"/>
              <w:jc w:val="left"/>
              <w:rPr>
                <w:sz w:val="4"/>
                <w:szCs w:val="4"/>
              </w:rPr>
            </w:pPr>
            <w:r>
              <w:rPr>
                <w:sz w:val="4"/>
                <w:szCs w:val="4"/>
              </w:rPr>
            </w:r>
          </w:p>
        </w:tc>
        <w:tc>
          <w:tcPr>
            <w:tcW w:w="441" w:type="dxa"/>
            <w:gridSpan w:val="3"/>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8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43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6" w:type="dxa"/>
            <w:gridSpan w:val="3"/>
            <w:tcBorders/>
            <w:vAlign w:val="center"/>
          </w:tcPr>
          <w:p>
            <w:pPr>
              <w:pStyle w:val="TableContents"/>
              <w:bidi w:val="0"/>
              <w:spacing w:before="0" w:after="283"/>
              <w:jc w:val="left"/>
              <w:rPr>
                <w:sz w:val="4"/>
                <w:szCs w:val="4"/>
              </w:rPr>
            </w:pPr>
            <w:r>
              <w:rPr>
                <w:sz w:val="4"/>
                <w:szCs w:val="4"/>
              </w:rPr>
            </w:r>
          </w:p>
        </w:tc>
        <w:tc>
          <w:tcPr>
            <w:tcW w:w="441" w:type="dxa"/>
            <w:gridSpan w:val="3"/>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8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43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6" w:type="dxa"/>
            <w:gridSpan w:val="3"/>
            <w:tcBorders/>
            <w:vAlign w:val="center"/>
          </w:tcPr>
          <w:p>
            <w:pPr>
              <w:pStyle w:val="TableContents"/>
              <w:bidi w:val="0"/>
              <w:spacing w:before="0" w:after="283"/>
              <w:jc w:val="left"/>
              <w:rPr>
                <w:sz w:val="4"/>
                <w:szCs w:val="4"/>
              </w:rPr>
            </w:pPr>
            <w:r>
              <w:rPr>
                <w:sz w:val="4"/>
                <w:szCs w:val="4"/>
              </w:rPr>
            </w:r>
          </w:p>
        </w:tc>
        <w:tc>
          <w:tcPr>
            <w:tcW w:w="441" w:type="dxa"/>
            <w:gridSpan w:val="3"/>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8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43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Noncontrolling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4393"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6 </w:t>
            </w:r>
          </w:p>
        </w:tc>
        <w:tc>
          <w:tcPr>
            <w:tcW w:w="147"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5 </w:t>
            </w:r>
          </w:p>
        </w:tc>
        <w:tc>
          <w:tcPr>
            <w:tcW w:w="147"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5 </w:t>
            </w:r>
          </w:p>
        </w:tc>
        <w:tc>
          <w:tcPr>
            <w:tcW w:w="130"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w:t>
            </w:r>
          </w:p>
        </w:tc>
        <w:tc>
          <w:tcPr>
            <w:tcW w:w="130"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439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Adjusted EBITDA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4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90</w:t>
            </w:r>
            <w:r>
              <w:rPr>
                <w:color w:val="000000"/>
              </w:rPr>
              <w:t> </w:t>
            </w:r>
          </w:p>
        </w:tc>
        <w:tc>
          <w:tcPr>
            <w:tcW w:w="14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87</w:t>
            </w:r>
            <w:r>
              <w:rPr>
                <w:color w:val="000000"/>
              </w:rPr>
              <w:t> </w:t>
            </w:r>
          </w:p>
        </w:tc>
        <w:tc>
          <w:tcPr>
            <w:tcW w:w="14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2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290</w:t>
            </w:r>
            <w:r>
              <w:rPr>
                <w:color w:val="000000"/>
              </w:rPr>
              <w:t> </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2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376</w:t>
            </w:r>
            <w:r>
              <w:rPr>
                <w:color w:val="000000"/>
              </w:rPr>
              <w:t> </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439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4393"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Capital expenditures, net</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w:t>
            </w:r>
          </w:p>
        </w:tc>
        <w:tc>
          <w:tcPr>
            <w:tcW w:w="147"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w:t>
            </w:r>
          </w:p>
        </w:tc>
        <w:tc>
          <w:tcPr>
            <w:tcW w:w="147"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(99)</w:t>
            </w:r>
          </w:p>
        </w:tc>
        <w:tc>
          <w:tcPr>
            <w:tcW w:w="130"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(80)</w:t>
            </w:r>
          </w:p>
        </w:tc>
        <w:tc>
          <w:tcPr>
            <w:tcW w:w="130"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43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and finance charge payments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(84)</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(91)</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(107)</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(125)</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4393"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Income taxes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w:t>
            </w:r>
          </w:p>
        </w:tc>
        <w:tc>
          <w:tcPr>
            <w:tcW w:w="147"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w:t>
            </w:r>
          </w:p>
        </w:tc>
        <w:tc>
          <w:tcPr>
            <w:tcW w:w="147"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w:t>
            </w:r>
          </w:p>
        </w:tc>
        <w:tc>
          <w:tcPr>
            <w:tcW w:w="130"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w:t>
            </w:r>
          </w:p>
        </w:tc>
        <w:tc>
          <w:tcPr>
            <w:tcW w:w="130"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43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Pension contributions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4393" w:type="dxa"/>
            <w:gridSpan w:val="3"/>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Adjusted Free Cash Flow</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43"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(78)</w:t>
            </w:r>
          </w:p>
        </w:tc>
        <w:tc>
          <w:tcPr>
            <w:tcW w:w="147"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3"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(29)</w:t>
            </w:r>
          </w:p>
        </w:tc>
        <w:tc>
          <w:tcPr>
            <w:tcW w:w="147"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25"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w:t>
            </w:r>
            <w:r>
              <w:rPr>
                <w:color w:val="000000"/>
              </w:rPr>
              <w:t> </w:t>
            </w:r>
          </w:p>
        </w:tc>
        <w:tc>
          <w:tcPr>
            <w:tcW w:w="130"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25"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165</w:t>
            </w:r>
            <w:r>
              <w:rPr>
                <w:color w:val="000000"/>
              </w:rPr>
              <w:t> </w:t>
            </w:r>
          </w:p>
        </w:tc>
        <w:tc>
          <w:tcPr>
            <w:tcW w:w="130"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Arial;sans-serif" w:hAnsi="Arial;sans-serif"/>
          <w:b w:val="false"/>
          <w:color w:val="000000"/>
          <w:sz w:val="14"/>
        </w:rPr>
      </w:pPr>
      <w:r>
        <w:rPr>
          <w:rFonts w:ascii="Arial;sans-serif" w:hAnsi="Arial;sans-serif"/>
          <w:b w:val="false"/>
          <w:color w:val="000000"/>
          <w:sz w:val="14"/>
        </w:rPr>
        <w:t>_______________</w:t>
      </w:r>
    </w:p>
    <w:p>
      <w:pPr>
        <w:pStyle w:val="TextBody"/>
        <w:bidi w:val="0"/>
        <w:spacing w:lineRule="auto" w:line="288" w:before="0" w:after="0"/>
        <w:ind w:left="0" w:right="0" w:hanging="360"/>
        <w:jc w:val="left"/>
        <w:rPr>
          <w:rFonts w:ascii="Arial;sans-serif" w:hAnsi="Arial;sans-serif"/>
          <w:b w:val="false"/>
          <w:color w:val="000000"/>
          <w:sz w:val="14"/>
        </w:rPr>
      </w:pPr>
      <w:r>
        <w:rPr>
          <w:rFonts w:ascii="Arial;sans-serif" w:hAnsi="Arial;sans-serif"/>
          <w:b w:val="false"/>
          <w:color w:val="000000"/>
          <w:sz w:val="14"/>
        </w:rPr>
        <w:t>(a)See Note 17 to the Q2 2025 Financial Statements for additional information.</w:t>
      </w:r>
    </w:p>
    <w:p>
      <w:pPr>
        <w:pStyle w:val="TextBody"/>
        <w:bidi w:val="0"/>
        <w:spacing w:before="0" w:after="0"/>
        <w:ind w:left="0" w:right="0" w:hanging="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31445"/>
                <wp:effectExtent l="0" t="0" r="0" b="0"/>
                <wp:wrapNone/>
                <wp:docPr id="12" name="Frame12"/>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18"/>
                              </w:rPr>
                            </w:pPr>
                            <w:r>
                              <w:rPr>
                                <w:rFonts w:ascii="Arial;sans-serif" w:hAnsi="Arial;sans-serif"/>
                                <w:b w:val="false"/>
                                <w:color w:val="000000"/>
                                <w:sz w:val="18"/>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18"/>
                        </w:rPr>
                      </w:pPr>
                      <w:r>
                        <w:rPr>
                          <w:rFonts w:ascii="Arial;sans-serif" w:hAnsi="Arial;sans-serif"/>
                          <w:b w:val="false"/>
                          <w:color w:val="000000"/>
                          <w:sz w:val="18"/>
                        </w:rPr>
                        <w:t>9</w:t>
                      </w:r>
                    </w:p>
                  </w:txbxContent>
                </v:textbox>
                <w10:wrap type="none"/>
              </v:rect>
            </w:pict>
          </mc:Fallback>
        </mc:AlternateContent>
      </w:r>
    </w:p>
    <w:p>
      <w:pPr>
        <w:pStyle w:val="TextBody"/>
        <w:bidi w:val="0"/>
        <w:spacing w:lineRule="auto" w:line="288" w:before="0" w:after="180"/>
        <w:jc w:val="left"/>
        <w:rPr>
          <w:rFonts w:ascii="Arial;sans-serif" w:hAnsi="Arial;sans-serif"/>
          <w:b/>
          <w:i/>
          <w:color w:val="000000"/>
          <w:sz w:val="18"/>
        </w:rPr>
      </w:pPr>
      <w:r>
        <w:rPr>
          <w:rFonts w:ascii="Arial;sans-serif" w:hAnsi="Arial;sans-serif"/>
          <w:b/>
          <w:i/>
          <w:color w:val="000000"/>
          <w:sz w:val="18"/>
        </w:rPr>
        <w:t>Adjusted EBITDA / Adjusted Free Cash Flow Reconciliation: 2025 Guidance</w:t>
      </w:r>
    </w:p>
    <w:tbl>
      <w:tblPr>
        <w:tblW w:w="6635" w:type="dxa"/>
        <w:jc w:val="left"/>
        <w:tblInd w:w="0" w:type="dxa"/>
        <w:tblLayout w:type="fixed"/>
        <w:tblCellMar>
          <w:top w:w="28" w:type="dxa"/>
          <w:left w:w="28" w:type="dxa"/>
          <w:bottom w:w="28" w:type="dxa"/>
          <w:right w:w="28" w:type="dxa"/>
        </w:tblCellMar>
      </w:tblPr>
      <w:tblGrid>
        <w:gridCol w:w="1539"/>
        <w:gridCol w:w="1354"/>
        <w:gridCol w:w="1366"/>
        <w:gridCol w:w="109"/>
        <w:gridCol w:w="109"/>
        <w:gridCol w:w="109"/>
        <w:gridCol w:w="196"/>
        <w:gridCol w:w="496"/>
        <w:gridCol w:w="109"/>
        <w:gridCol w:w="109"/>
        <w:gridCol w:w="109"/>
        <w:gridCol w:w="109"/>
        <w:gridCol w:w="196"/>
        <w:gridCol w:w="571"/>
        <w:gridCol w:w="154"/>
      </w:tblGrid>
      <w:tr>
        <w:trPr/>
        <w:tc>
          <w:tcPr>
            <w:tcW w:w="1539" w:type="dxa"/>
            <w:tcBorders/>
            <w:vAlign w:val="center"/>
          </w:tcPr>
          <w:p>
            <w:pPr>
              <w:pStyle w:val="TableContents"/>
              <w:bidi w:val="0"/>
              <w:spacing w:before="0" w:after="283"/>
              <w:jc w:val="left"/>
              <w:rPr>
                <w:sz w:val="4"/>
                <w:szCs w:val="4"/>
              </w:rPr>
            </w:pPr>
            <w:r>
              <w:rPr>
                <w:sz w:val="4"/>
                <w:szCs w:val="4"/>
              </w:rPr>
            </w:r>
          </w:p>
        </w:tc>
        <w:tc>
          <w:tcPr>
            <w:tcW w:w="1354"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2025E</w:t>
            </w:r>
          </w:p>
        </w:tc>
      </w:tr>
      <w:tr>
        <w:trPr/>
        <w:tc>
          <w:tcPr>
            <w:tcW w:w="42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(Millions of Dollars)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8"/>
              </w:rPr>
            </w:pPr>
            <w:r>
              <w:rPr>
                <w:rFonts w:ascii="Arial;sans-serif" w:hAnsi="Arial;sans-serif"/>
                <w:b/>
                <w:color w:val="000000"/>
                <w:sz w:val="18"/>
              </w:rPr>
              <w:t>Low</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8"/>
              </w:rPr>
            </w:pPr>
            <w:r>
              <w:rPr>
                <w:rFonts w:ascii="Arial;sans-serif" w:hAnsi="Arial;sans-serif"/>
                <w:b/>
                <w:color w:val="000000"/>
                <w:sz w:val="18"/>
              </w:rPr>
              <w:t>High</w:t>
            </w:r>
          </w:p>
        </w:tc>
      </w:tr>
      <w:tr>
        <w:trPr/>
        <w:tc>
          <w:tcPr>
            <w:tcW w:w="4259" w:type="dxa"/>
            <w:gridSpan w:val="3"/>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Income (Loss)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96"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205 </w:t>
            </w:r>
          </w:p>
        </w:tc>
        <w:tc>
          <w:tcPr>
            <w:tcW w:w="109"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71"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325 </w:t>
            </w:r>
          </w:p>
        </w:tc>
        <w:tc>
          <w:tcPr>
            <w:tcW w:w="154"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Adjustments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expense and other finance charges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235 </w:t>
            </w:r>
          </w:p>
        </w:tc>
        <w:tc>
          <w:tcPr>
            <w:tcW w:w="1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245 </w:t>
            </w:r>
          </w:p>
        </w:tc>
        <w:tc>
          <w:tcPr>
            <w:tcW w:w="154"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Income tax (benefit)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Depreciation, amortization and accretion</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295 </w:t>
            </w:r>
          </w:p>
        </w:tc>
        <w:tc>
          <w:tcPr>
            <w:tcW w:w="1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295 </w:t>
            </w:r>
          </w:p>
        </w:tc>
        <w:tc>
          <w:tcPr>
            <w:tcW w:w="154"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Nuclear fuel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105 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4259"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Unrealized (gain) loss on commodity derivative contracts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75 </w:t>
            </w:r>
          </w:p>
        </w:tc>
        <w:tc>
          <w:tcPr>
            <w:tcW w:w="1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75 </w:t>
            </w:r>
          </w:p>
        </w:tc>
        <w:tc>
          <w:tcPr>
            <w:tcW w:w="154"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r>
      <w:tr>
        <w:trPr/>
        <w:tc>
          <w:tcPr>
            <w:tcW w:w="4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r>
      <w:tr>
        <w:trPr/>
        <w:tc>
          <w:tcPr>
            <w:tcW w:w="425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Adjusted EBITDA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4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975</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1,125</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Capital expenditures, net</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96" w:type="dxa"/>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(195)</w:t>
            </w:r>
          </w:p>
        </w:tc>
        <w:tc>
          <w:tcPr>
            <w:tcW w:w="1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71" w:type="dxa"/>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(205)</w:t>
            </w:r>
          </w:p>
        </w:tc>
        <w:tc>
          <w:tcPr>
            <w:tcW w:w="154"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and finance charge payments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Income taxes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w:t>
            </w:r>
          </w:p>
        </w:tc>
        <w:tc>
          <w:tcPr>
            <w:tcW w:w="1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w:t>
            </w:r>
          </w:p>
        </w:tc>
        <w:tc>
          <w:tcPr>
            <w:tcW w:w="154"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Pension contributions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top w:val="single" w:sz="8" w:space="0" w:color="000000"/>
              <w:bottom w:val="sing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Adjusted Free Cash Flow</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496" w:type="dxa"/>
            <w:tcBorders>
              <w:top w:val="single" w:sz="8" w:space="0" w:color="000000"/>
              <w:bottom w:val="sing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450</w:t>
            </w:r>
            <w:r>
              <w:rPr>
                <w:color w:val="000000"/>
              </w:rPr>
              <w:t> </w:t>
            </w:r>
          </w:p>
        </w:tc>
        <w:tc>
          <w:tcPr>
            <w:tcW w:w="109" w:type="dxa"/>
            <w:tcBorders>
              <w:top w:val="single" w:sz="8" w:space="0" w:color="000000"/>
              <w:bottom w:val="single" w:sz="8" w:space="0" w:color="000000"/>
            </w:tcBorders>
            <w:shd w:fill="E1E1E2"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1" w:type="dxa"/>
            <w:tcBorders>
              <w:top w:val="single" w:sz="8" w:space="0" w:color="000000"/>
              <w:bottom w:val="sing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540</w:t>
            </w:r>
            <w:r>
              <w:rPr>
                <w:color w:val="000000"/>
              </w:rPr>
              <w:t> </w:t>
            </w:r>
          </w:p>
        </w:tc>
        <w:tc>
          <w:tcPr>
            <w:tcW w:w="154" w:type="dxa"/>
            <w:tcBorders>
              <w:top w:val="single" w:sz="8" w:space="0" w:color="000000"/>
              <w:bottom w:val="single" w:sz="8" w:space="0" w:color="000000"/>
            </w:tcBorders>
            <w:shd w:fill="E1E1E2"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Arial;sans-serif" w:hAnsi="Arial;sans-serif"/>
          <w:b w:val="false"/>
          <w:color w:val="000000"/>
          <w:sz w:val="14"/>
        </w:rPr>
      </w:pPr>
      <w:r>
        <w:rPr>
          <w:rFonts w:ascii="Arial;sans-serif" w:hAnsi="Arial;sans-serif"/>
          <w:b w:val="false"/>
          <w:color w:val="000000"/>
          <w:sz w:val="14"/>
        </w:rPr>
        <w:t>_______________</w:t>
      </w:r>
    </w:p>
    <w:p>
      <w:pPr>
        <w:pStyle w:val="TextBody"/>
        <w:bidi w:val="0"/>
        <w:spacing w:lineRule="auto" w:line="288"/>
        <w:ind w:left="0" w:right="0" w:hanging="360"/>
        <w:jc w:val="left"/>
        <w:rPr>
          <w:rFonts w:ascii="Arial;sans-serif" w:hAnsi="Arial;sans-serif"/>
          <w:b w:val="false"/>
          <w:color w:val="000000"/>
          <w:sz w:val="14"/>
        </w:rPr>
      </w:pPr>
      <w:r>
        <w:rPr>
          <w:rFonts w:ascii="Arial;sans-serif" w:hAnsi="Arial;sans-serif"/>
          <w:b w:val="false"/>
          <w:color w:val="000000"/>
          <w:sz w:val="14"/>
        </w:rPr>
        <w:t xml:space="preserve">Note: Figures are rounded to the nearest $5 million. </w:t>
      </w:r>
    </w:p>
    <w:p>
      <w:pPr>
        <w:pStyle w:val="TextBody"/>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31445"/>
                <wp:effectExtent l="0" t="0" r="0" b="0"/>
                <wp:wrapNone/>
                <wp:docPr id="13" name="Frame13"/>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18"/>
                              </w:rPr>
                            </w:pPr>
                            <w:r>
                              <w:rPr>
                                <w:rFonts w:ascii="Arial;sans-serif" w:hAnsi="Arial;sans-serif"/>
                                <w:b w:val="false"/>
                                <w:color w:val="000000"/>
                                <w:sz w:val="18"/>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18"/>
                        </w:rPr>
                      </w:pPr>
                      <w:r>
                        <w:rPr>
                          <w:rFonts w:ascii="Arial;sans-serif" w:hAnsi="Arial;sans-serif"/>
                          <w:b w:val="false"/>
                          <w:color w:val="000000"/>
                          <w:sz w:val="18"/>
                        </w:rPr>
                        <w:t>10</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11</Pages>
  <Words>4292</Words>
  <Characters>24454</Characters>
  <CharactersWithSpaces>28245</CharactersWithSpaces>
  <Paragraphs>757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