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16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5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2196465</wp:posOffset>
            </wp:positionH>
            <wp:positionV relativeFrom="paragraph">
              <wp:posOffset>297815</wp:posOffset>
            </wp:positionV>
            <wp:extent cx="2528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212725</wp:posOffset>
            </wp:positionV>
            <wp:extent cx="253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CURRENT REPORT</w:t>
      </w:r>
    </w:p>
    <w:p>
      <w:pPr>
        <w:spacing w:after="0" w:line="167"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May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303530</wp:posOffset>
            </wp:positionV>
            <wp:extent cx="2537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Talen Energy Corporation</w:t>
      </w:r>
    </w:p>
    <w:p>
      <w:pPr>
        <w:spacing w:after="0" w:line="4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233680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226"/>
        </w:trPr>
        <w:tc>
          <w:tcPr>
            <w:tcW w:w="330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b w:val="1"/>
                <w:bCs w:val="1"/>
                <w:color w:val="auto"/>
              </w:rPr>
              <w:t>Delaware</w:t>
            </w: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001-37388</w:t>
            </w:r>
          </w:p>
        </w:tc>
        <w:tc>
          <w:tcPr>
            <w:tcW w:w="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center"/>
              <w:ind w:right="1019"/>
              <w:spacing w:after="0"/>
              <w:rPr>
                <w:sz w:val="20"/>
                <w:szCs w:val="20"/>
                <w:color w:val="auto"/>
              </w:rPr>
            </w:pPr>
            <w:r>
              <w:rPr>
                <w:rFonts w:ascii="Arial" w:cs="Arial" w:eastAsia="Arial" w:hAnsi="Arial"/>
                <w:sz w:val="16"/>
                <w:szCs w:val="16"/>
                <w:b w:val="1"/>
                <w:bCs w:val="1"/>
                <w:color w:val="auto"/>
              </w:rPr>
              <w:t>47-1197305</w:t>
            </w:r>
          </w:p>
        </w:tc>
      </w:tr>
      <w:tr>
        <w:trPr>
          <w:trHeight w:val="213"/>
        </w:trPr>
        <w:tc>
          <w:tcPr>
            <w:tcW w:w="3300" w:type="dxa"/>
            <w:vAlign w:val="bottom"/>
          </w:tcPr>
          <w:p>
            <w:pPr>
              <w:jc w:val="center"/>
              <w:ind w:left="759"/>
              <w:spacing w:after="0"/>
              <w:rPr>
                <w:sz w:val="20"/>
                <w:szCs w:val="20"/>
                <w:color w:val="auto"/>
              </w:rPr>
            </w:pPr>
            <w:r>
              <w:rPr>
                <w:rFonts w:ascii="Arial" w:cs="Arial" w:eastAsia="Arial" w:hAnsi="Arial"/>
                <w:sz w:val="16"/>
                <w:szCs w:val="16"/>
                <w:color w:val="auto"/>
              </w:rPr>
              <w:t>(State or other jurisdiction of</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3"/>
          </w:tcPr>
          <w:p>
            <w:pPr>
              <w:jc w:val="center"/>
              <w:ind w:right="1220"/>
              <w:spacing w:after="0"/>
              <w:rPr>
                <w:sz w:val="20"/>
                <w:szCs w:val="20"/>
                <w:color w:val="auto"/>
              </w:rPr>
            </w:pPr>
            <w:r>
              <w:rPr>
                <w:rFonts w:ascii="Arial" w:cs="Arial" w:eastAsia="Arial" w:hAnsi="Arial"/>
                <w:sz w:val="16"/>
                <w:szCs w:val="16"/>
                <w:color w:val="auto"/>
              </w:rPr>
              <w:t>(Commission File Number)</w:t>
            </w:r>
          </w:p>
        </w:tc>
        <w:tc>
          <w:tcPr>
            <w:tcW w:w="3080" w:type="dxa"/>
            <w:vAlign w:val="bottom"/>
          </w:tcPr>
          <w:p>
            <w:pPr>
              <w:jc w:val="center"/>
              <w:ind w:right="999"/>
              <w:spacing w:after="0"/>
              <w:rPr>
                <w:sz w:val="20"/>
                <w:szCs w:val="20"/>
                <w:color w:val="auto"/>
              </w:rPr>
            </w:pPr>
            <w:r>
              <w:rPr>
                <w:rFonts w:ascii="Arial" w:cs="Arial" w:eastAsia="Arial" w:hAnsi="Arial"/>
                <w:sz w:val="16"/>
                <w:szCs w:val="16"/>
                <w:color w:val="auto"/>
                <w:w w:val="99"/>
              </w:rPr>
              <w:t>(IRS Employer</w:t>
            </w:r>
          </w:p>
        </w:tc>
      </w:tr>
      <w:tr>
        <w:trPr>
          <w:trHeight w:val="215"/>
        </w:trPr>
        <w:tc>
          <w:tcPr>
            <w:tcW w:w="3300" w:type="dxa"/>
            <w:vAlign w:val="bottom"/>
          </w:tcPr>
          <w:p>
            <w:pPr>
              <w:jc w:val="center"/>
              <w:ind w:left="779"/>
              <w:spacing w:after="0"/>
              <w:rPr>
                <w:sz w:val="20"/>
                <w:szCs w:val="20"/>
                <w:color w:val="auto"/>
              </w:rPr>
            </w:pPr>
            <w:r>
              <w:rPr>
                <w:rFonts w:ascii="Arial" w:cs="Arial" w:eastAsia="Arial" w:hAnsi="Arial"/>
                <w:sz w:val="16"/>
                <w:szCs w:val="16"/>
                <w:color w:val="auto"/>
              </w:rPr>
              <w:t>incorporation or organization)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tcPr>
          <w:p>
            <w:pPr>
              <w:jc w:val="center"/>
              <w:ind w:right="1019"/>
              <w:spacing w:after="0"/>
              <w:rPr>
                <w:sz w:val="20"/>
                <w:szCs w:val="20"/>
                <w:color w:val="auto"/>
              </w:rPr>
            </w:pPr>
            <w:r>
              <w:rPr>
                <w:rFonts w:ascii="Arial" w:cs="Arial" w:eastAsia="Arial" w:hAnsi="Arial"/>
                <w:sz w:val="16"/>
                <w:szCs w:val="16"/>
                <w:color w:val="auto"/>
              </w:rPr>
              <w:t>Identification No.)</w:t>
            </w:r>
          </w:p>
        </w:tc>
      </w:tr>
      <w:tr>
        <w:trPr>
          <w:trHeight w:val="609"/>
        </w:trPr>
        <w:tc>
          <w:tcPr>
            <w:tcW w:w="3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3"/>
          </w:tcPr>
          <w:p>
            <w:pPr>
              <w:jc w:val="center"/>
              <w:ind w:right="1180"/>
              <w:spacing w:after="0"/>
              <w:rPr>
                <w:sz w:val="20"/>
                <w:szCs w:val="20"/>
                <w:color w:val="auto"/>
              </w:rPr>
            </w:pPr>
            <w:r>
              <w:rPr>
                <w:rFonts w:ascii="Arial" w:cs="Arial" w:eastAsia="Arial" w:hAnsi="Arial"/>
                <w:sz w:val="16"/>
                <w:szCs w:val="16"/>
                <w:b w:val="1"/>
                <w:bCs w:val="1"/>
                <w:color w:val="auto"/>
              </w:rPr>
              <w:t>2929 Allen Pkwy, Suite 2200</w:t>
            </w:r>
          </w:p>
        </w:tc>
        <w:tc>
          <w:tcPr>
            <w:tcW w:w="3080" w:type="dxa"/>
            <w:vAlign w:val="bottom"/>
          </w:tcPr>
          <w:p>
            <w:pPr>
              <w:spacing w:after="0"/>
              <w:rPr>
                <w:sz w:val="24"/>
                <w:szCs w:val="24"/>
                <w:color w:val="auto"/>
              </w:rPr>
            </w:pPr>
          </w:p>
        </w:tc>
      </w:tr>
      <w:tr>
        <w:trPr>
          <w:trHeight w:val="203"/>
        </w:trPr>
        <w:tc>
          <w:tcPr>
            <w:tcW w:w="3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
          </w:tcPr>
          <w:p>
            <w:pPr>
              <w:jc w:val="center"/>
              <w:ind w:right="1200"/>
              <w:spacing w:after="0"/>
              <w:rPr>
                <w:sz w:val="20"/>
                <w:szCs w:val="20"/>
                <w:color w:val="auto"/>
              </w:rPr>
            </w:pPr>
            <w:r>
              <w:rPr>
                <w:rFonts w:ascii="Arial" w:cs="Arial" w:eastAsia="Arial" w:hAnsi="Arial"/>
                <w:sz w:val="16"/>
                <w:szCs w:val="16"/>
                <w:b w:val="1"/>
                <w:bCs w:val="1"/>
                <w:color w:val="auto"/>
              </w:rPr>
              <w:t>Houston, TX 77019</w:t>
            </w:r>
          </w:p>
        </w:tc>
        <w:tc>
          <w:tcPr>
            <w:tcW w:w="3080" w:type="dxa"/>
            <w:vAlign w:val="bottom"/>
          </w:tcPr>
          <w:p>
            <w:pPr>
              <w:spacing w:after="0"/>
              <w:rPr>
                <w:sz w:val="17"/>
                <w:szCs w:val="17"/>
                <w:color w:val="auto"/>
              </w:rPr>
            </w:pPr>
          </w:p>
        </w:tc>
      </w:tr>
      <w:tr>
        <w:trPr>
          <w:trHeight w:val="215"/>
        </w:trPr>
        <w:tc>
          <w:tcPr>
            <w:tcW w:w="3300" w:type="dxa"/>
            <w:vAlign w:val="bottom"/>
          </w:tcPr>
          <w:p>
            <w:pPr>
              <w:spacing w:after="0"/>
              <w:rPr>
                <w:sz w:val="18"/>
                <w:szCs w:val="18"/>
                <w:color w:val="auto"/>
              </w:rPr>
            </w:pPr>
          </w:p>
        </w:tc>
        <w:tc>
          <w:tcPr>
            <w:tcW w:w="4340" w:type="dxa"/>
            <w:vAlign w:val="bottom"/>
            <w:gridSpan w:val="5"/>
          </w:tcPr>
          <w:p>
            <w:pPr>
              <w:jc w:val="center"/>
              <w:ind w:right="200"/>
              <w:spacing w:after="0"/>
              <w:rPr>
                <w:sz w:val="20"/>
                <w:szCs w:val="20"/>
                <w:color w:val="auto"/>
              </w:rPr>
            </w:pPr>
            <w:r>
              <w:rPr>
                <w:rFonts w:ascii="Arial" w:cs="Arial" w:eastAsia="Arial" w:hAnsi="Arial"/>
                <w:sz w:val="16"/>
                <w:szCs w:val="16"/>
                <w:color w:val="auto"/>
              </w:rPr>
              <w:t>(Address of principal executive offices) (Zip Code)</w:t>
            </w:r>
          </w:p>
        </w:tc>
        <w:tc>
          <w:tcPr>
            <w:tcW w:w="3080" w:type="dxa"/>
            <w:vAlign w:val="bottom"/>
          </w:tcPr>
          <w:p>
            <w:pPr>
              <w:spacing w:after="0"/>
              <w:rPr>
                <w:sz w:val="18"/>
                <w:szCs w:val="18"/>
                <w:color w:val="auto"/>
              </w:rPr>
            </w:pPr>
          </w:p>
        </w:tc>
      </w:tr>
      <w:tr>
        <w:trPr>
          <w:trHeight w:val="325"/>
        </w:trPr>
        <w:tc>
          <w:tcPr>
            <w:tcW w:w="3300" w:type="dxa"/>
            <w:vAlign w:val="bottom"/>
          </w:tcPr>
          <w:p>
            <w:pPr>
              <w:spacing w:after="0"/>
              <w:rPr>
                <w:sz w:val="24"/>
                <w:szCs w:val="24"/>
                <w:color w:val="auto"/>
              </w:rPr>
            </w:pPr>
          </w:p>
        </w:tc>
        <w:tc>
          <w:tcPr>
            <w:tcW w:w="312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w w:val="98"/>
              </w:rPr>
              <w:t>(888) 211-6011</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5"/>
        </w:trPr>
        <w:tc>
          <w:tcPr>
            <w:tcW w:w="3300" w:type="dxa"/>
            <w:vAlign w:val="bottom"/>
          </w:tcPr>
          <w:p>
            <w:pPr>
              <w:spacing w:after="0"/>
              <w:rPr>
                <w:sz w:val="18"/>
                <w:szCs w:val="18"/>
                <w:color w:val="auto"/>
              </w:rPr>
            </w:pPr>
          </w:p>
        </w:tc>
        <w:tc>
          <w:tcPr>
            <w:tcW w:w="4340" w:type="dxa"/>
            <w:vAlign w:val="bottom"/>
            <w:gridSpan w:val="5"/>
          </w:tcPr>
          <w:p>
            <w:pPr>
              <w:jc w:val="center"/>
              <w:ind w:right="220"/>
              <w:spacing w:after="0"/>
              <w:rPr>
                <w:sz w:val="20"/>
                <w:szCs w:val="20"/>
                <w:color w:val="auto"/>
              </w:rPr>
            </w:pPr>
            <w:r>
              <w:rPr>
                <w:rFonts w:ascii="Arial" w:cs="Arial" w:eastAsia="Arial" w:hAnsi="Arial"/>
                <w:sz w:val="16"/>
                <w:szCs w:val="16"/>
                <w:color w:val="auto"/>
              </w:rPr>
              <w:t>(Registrant’s telephone number, including area code)</w:t>
            </w:r>
          </w:p>
        </w:tc>
        <w:tc>
          <w:tcPr>
            <w:tcW w:w="3080" w:type="dxa"/>
            <w:vAlign w:val="bottom"/>
          </w:tcPr>
          <w:p>
            <w:pPr>
              <w:spacing w:after="0"/>
              <w:rPr>
                <w:sz w:val="18"/>
                <w:szCs w:val="18"/>
                <w:color w:val="auto"/>
              </w:rPr>
            </w:pPr>
          </w:p>
        </w:tc>
      </w:tr>
    </w:tbl>
    <w:p>
      <w:pPr>
        <w:spacing w:after="0" w:line="150"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267970</wp:posOffset>
            </wp:positionV>
            <wp:extent cx="2537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9" w:lineRule="exact"/>
        <w:rPr>
          <w:sz w:val="24"/>
          <w:szCs w:val="24"/>
          <w:color w:val="auto"/>
        </w:rPr>
      </w:pPr>
    </w:p>
    <w:tbl>
      <w:tblPr>
        <w:tblLayout w:type="fixed"/>
        <w:tblInd w:w="80" w:type="dxa"/>
        <w:tblCellMar>
          <w:top w:w="0" w:type="dxa"/>
          <w:left w:w="0" w:type="dxa"/>
          <w:bottom w:w="0" w:type="dxa"/>
          <w:right w:w="0" w:type="dxa"/>
        </w:tblCellMar>
      </w:tblPr>
      <w:tr>
        <w:trPr>
          <w:trHeight w:val="223"/>
        </w:trPr>
        <w:tc>
          <w:tcPr>
            <w:tcW w:w="4140" w:type="dxa"/>
            <w:vAlign w:val="bottom"/>
            <w:vMerge w:val="restart"/>
          </w:tcPr>
          <w:p>
            <w:pPr>
              <w:ind w:left="1440"/>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vMerge w:val="restart"/>
          </w:tcPr>
          <w:p>
            <w:pPr>
              <w:spacing w:after="0"/>
              <w:rPr>
                <w:sz w:val="19"/>
                <w:szCs w:val="19"/>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Trading Symbol(s)</w:t>
            </w: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6"/>
        </w:trPr>
        <w:tc>
          <w:tcPr>
            <w:tcW w:w="41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280" w:type="dxa"/>
            <w:vAlign w:val="bottom"/>
            <w:gridSpan w:val="2"/>
          </w:tcPr>
          <w:p>
            <w:pPr>
              <w:ind w:left="560"/>
              <w:spacing w:after="0"/>
              <w:rPr>
                <w:sz w:val="20"/>
                <w:szCs w:val="20"/>
                <w:color w:val="auto"/>
              </w:rPr>
            </w:pPr>
            <w:r>
              <w:rPr>
                <w:rFonts w:ascii="Arial" w:cs="Arial" w:eastAsia="Arial" w:hAnsi="Arial"/>
                <w:sz w:val="16"/>
                <w:szCs w:val="16"/>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TLN</w:t>
            </w:r>
          </w:p>
        </w:tc>
        <w:tc>
          <w:tcPr>
            <w:tcW w:w="41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bl>
    <w:p>
      <w:pPr>
        <w:spacing w:after="0" w:line="258" w:lineRule="exact"/>
        <w:rPr>
          <w:sz w:val="24"/>
          <w:szCs w:val="24"/>
          <w:color w:val="auto"/>
        </w:rPr>
      </w:pPr>
    </w:p>
    <w:p>
      <w:pPr>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CFR§230.405) or Rule 12b-2 of the Securities Exchange Act of 1934 (17 CFR §240.12b-2).</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4"/>
          <w:szCs w:val="14"/>
          <w:color w:val="auto"/>
        </w:rPr>
        <w:t>☐</w:t>
      </w:r>
    </w:p>
    <w:p>
      <w:pPr>
        <w:spacing w:after="0" w:line="155" w:lineRule="exact"/>
        <w:rPr>
          <w:sz w:val="24"/>
          <w:szCs w:val="24"/>
          <w:color w:val="auto"/>
        </w:rPr>
      </w:pPr>
    </w:p>
    <w:p>
      <w:pPr>
        <w:ind w:right="40"/>
        <w:spacing w:after="0" w:line="22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767715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199" w:right="4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6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On May 8, 2025, Talen Energy Corporation (“Talen”) announced via press release its first quarter 2025 financial and operating results. A copy of the earnings release is furnished as Exhibit 99.1 to this Current Report on Form 8-K (this “Report”).</w:t>
      </w:r>
    </w:p>
    <w:p>
      <w:pPr>
        <w:spacing w:after="0" w:line="8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information provided under this Item 2.02 and in Exhibit 99.1 to this Report is being furnished and shall not be deemed “filed” for the purpose of Section 18 of the Securities Exchange Act of 1934, as amended (the “Exchange Act”), or otherwise subject to the liabilities of that Section. The information under this Item 2.02 and in Exhibit 99.1 to this Report shall not be incorporated by reference into any registration statement or other document pursuant to the Securities Act of 1933, as amended, or the Exchange Act.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Pr>
          <w:p>
            <w:pPr>
              <w:spacing w:after="0"/>
              <w:rPr>
                <w:sz w:val="20"/>
                <w:szCs w:val="20"/>
                <w:color w:val="auto"/>
              </w:rPr>
            </w:pPr>
            <w:r>
              <w:rPr>
                <w:rFonts w:ascii="Arial" w:cs="Arial" w:eastAsia="Arial" w:hAnsi="Arial"/>
                <w:sz w:val="16"/>
                <w:szCs w:val="16"/>
                <w:color w:val="auto"/>
              </w:rPr>
              <w:t>(d) Exhibits:</w:t>
            </w:r>
          </w:p>
        </w:tc>
        <w:tc>
          <w:tcPr>
            <w:tcW w:w="248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413"/>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734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183"/>
        </w:trPr>
        <w:tc>
          <w:tcPr>
            <w:tcW w:w="2060" w:type="dxa"/>
            <w:vAlign w:val="bottom"/>
          </w:tcPr>
          <w:p>
            <w:pPr>
              <w:ind w:left="20"/>
              <w:spacing w:after="0"/>
              <w:rPr>
                <w:sz w:val="20"/>
                <w:szCs w:val="20"/>
                <w:color w:val="auto"/>
              </w:rPr>
            </w:pPr>
            <w:r>
              <w:rPr>
                <w:rFonts w:ascii="Arial" w:cs="Arial" w:eastAsia="Arial" w:hAnsi="Arial"/>
                <w:sz w:val="16"/>
                <w:szCs w:val="16"/>
                <w:color w:val="auto"/>
              </w:rPr>
              <w:t>99.1</w:t>
            </w:r>
          </w:p>
        </w:tc>
        <w:tc>
          <w:tcPr>
            <w:tcW w:w="248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rPr>
              <w:t>Press Release dated May 8, 2025.</w:t>
            </w:r>
          </w:p>
        </w:tc>
        <w:tc>
          <w:tcPr>
            <w:tcW w:w="4860" w:type="dxa"/>
            <w:vAlign w:val="bottom"/>
          </w:tcPr>
          <w:p>
            <w:pPr>
              <w:spacing w:after="0"/>
              <w:rPr>
                <w:sz w:val="15"/>
                <w:szCs w:val="15"/>
                <w:color w:val="auto"/>
              </w:rPr>
            </w:pPr>
          </w:p>
        </w:tc>
      </w:tr>
      <w:tr>
        <w:trPr>
          <w:trHeight w:val="248"/>
        </w:trPr>
        <w:tc>
          <w:tcPr>
            <w:tcW w:w="2060" w:type="dxa"/>
            <w:vAlign w:val="bottom"/>
          </w:tcPr>
          <w:p>
            <w:pPr>
              <w:ind w:left="20"/>
              <w:spacing w:after="0"/>
              <w:rPr>
                <w:sz w:val="20"/>
                <w:szCs w:val="20"/>
                <w:color w:val="auto"/>
              </w:rPr>
            </w:pPr>
            <w:r>
              <w:rPr>
                <w:rFonts w:ascii="Arial" w:cs="Arial" w:eastAsia="Arial" w:hAnsi="Arial"/>
                <w:sz w:val="16"/>
                <w:szCs w:val="16"/>
                <w:color w:val="auto"/>
              </w:rPr>
              <w:t>104</w:t>
            </w:r>
          </w:p>
        </w:tc>
        <w:tc>
          <w:tcPr>
            <w:tcW w:w="7340" w:type="dxa"/>
            <w:vAlign w:val="bottom"/>
            <w:gridSpan w:val="2"/>
          </w:tcPr>
          <w:p>
            <w:pPr>
              <w:spacing w:after="0"/>
              <w:rPr>
                <w:sz w:val="20"/>
                <w:szCs w:val="20"/>
                <w:color w:val="auto"/>
              </w:rPr>
            </w:pPr>
            <w:r>
              <w:rPr>
                <w:rFonts w:ascii="Arial" w:cs="Arial" w:eastAsia="Arial" w:hAnsi="Arial"/>
                <w:sz w:val="16"/>
                <w:szCs w:val="16"/>
                <w:color w:val="auto"/>
              </w:rPr>
              <w:t>Cover Page Interactive Data File (cover page XBRL tags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 w:name="page3"/>
    <w:bookmarkEnd w:id="2"/>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TALEN ENERGY CORPORATION</w:t>
            </w:r>
          </w:p>
        </w:tc>
      </w:tr>
      <w:tr>
        <w:trPr>
          <w:trHeight w:val="252"/>
        </w:trPr>
        <w:tc>
          <w:tcPr>
            <w:tcW w:w="3820" w:type="dxa"/>
            <w:vAlign w:val="bottom"/>
          </w:tcPr>
          <w:p>
            <w:pPr>
              <w:spacing w:after="0"/>
              <w:rPr>
                <w:sz w:val="20"/>
                <w:szCs w:val="20"/>
                <w:color w:val="auto"/>
              </w:rPr>
            </w:pPr>
            <w:r>
              <w:rPr>
                <w:rFonts w:ascii="Arial" w:cs="Arial" w:eastAsia="Arial" w:hAnsi="Arial"/>
                <w:sz w:val="16"/>
                <w:szCs w:val="16"/>
                <w:color w:val="auto"/>
              </w:rPr>
              <w:t>Date:    May 8, 2025</w:t>
            </w:r>
          </w:p>
        </w:tc>
        <w:tc>
          <w:tcPr>
            <w:tcW w:w="2980" w:type="dxa"/>
            <w:vAlign w:val="bottom"/>
          </w:tcPr>
          <w:p>
            <w:pPr>
              <w:ind w:left="2220"/>
              <w:spacing w:after="0"/>
              <w:rPr>
                <w:sz w:val="20"/>
                <w:szCs w:val="20"/>
                <w:color w:val="auto"/>
              </w:rPr>
            </w:pPr>
            <w:r>
              <w:rPr>
                <w:rFonts w:ascii="Arial" w:cs="Arial" w:eastAsia="Arial" w:hAnsi="Arial"/>
                <w:sz w:val="16"/>
                <w:szCs w:val="16"/>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Terry L. Nutt</w:t>
            </w:r>
          </w:p>
        </w:tc>
      </w:tr>
      <w:tr>
        <w:trPr>
          <w:trHeight w:val="228"/>
        </w:trPr>
        <w:tc>
          <w:tcPr>
            <w:tcW w:w="3820" w:type="dxa"/>
            <w:vAlign w:val="bottom"/>
          </w:tcPr>
          <w:p>
            <w:pPr>
              <w:spacing w:after="0"/>
              <w:rPr>
                <w:sz w:val="19"/>
                <w:szCs w:val="19"/>
                <w:color w:val="auto"/>
              </w:rPr>
            </w:pPr>
          </w:p>
        </w:tc>
        <w:tc>
          <w:tcPr>
            <w:tcW w:w="2980" w:type="dxa"/>
            <w:vAlign w:val="bottom"/>
          </w:tcPr>
          <w:p>
            <w:pPr>
              <w:ind w:left="2220"/>
              <w:spacing w:after="0"/>
              <w:rPr>
                <w:sz w:val="20"/>
                <w:szCs w:val="20"/>
                <w:color w:val="auto"/>
              </w:rPr>
            </w:pPr>
            <w:r>
              <w:rPr>
                <w:rFonts w:ascii="Arial" w:cs="Arial" w:eastAsia="Arial" w:hAnsi="Arial"/>
                <w:sz w:val="16"/>
                <w:szCs w:val="16"/>
                <w:color w:val="auto"/>
              </w:rPr>
              <w:t>Name:</w:t>
            </w:r>
          </w:p>
        </w:tc>
        <w:tc>
          <w:tcPr>
            <w:tcW w:w="4420" w:type="dxa"/>
            <w:vAlign w:val="bottom"/>
          </w:tcPr>
          <w:p>
            <w:pPr>
              <w:ind w:left="20"/>
              <w:spacing w:after="0"/>
              <w:rPr>
                <w:sz w:val="20"/>
                <w:szCs w:val="20"/>
                <w:color w:val="auto"/>
              </w:rPr>
            </w:pPr>
            <w:r>
              <w:rPr>
                <w:rFonts w:ascii="Arial" w:cs="Arial" w:eastAsia="Arial" w:hAnsi="Arial"/>
                <w:sz w:val="16"/>
                <w:szCs w:val="16"/>
                <w:color w:val="auto"/>
              </w:rPr>
              <w:t>Terry L. Nutt</w:t>
            </w:r>
          </w:p>
        </w:tc>
      </w:tr>
      <w:tr>
        <w:trPr>
          <w:trHeight w:val="243"/>
        </w:trPr>
        <w:tc>
          <w:tcPr>
            <w:tcW w:w="3820" w:type="dxa"/>
            <w:vAlign w:val="bottom"/>
          </w:tcPr>
          <w:p>
            <w:pPr>
              <w:spacing w:after="0"/>
              <w:rPr>
                <w:sz w:val="21"/>
                <w:szCs w:val="21"/>
                <w:color w:val="auto"/>
              </w:rPr>
            </w:pPr>
          </w:p>
        </w:tc>
        <w:tc>
          <w:tcPr>
            <w:tcW w:w="2980" w:type="dxa"/>
            <w:vAlign w:val="bottom"/>
          </w:tcPr>
          <w:p>
            <w:pPr>
              <w:ind w:left="2220"/>
              <w:spacing w:after="0"/>
              <w:rPr>
                <w:sz w:val="20"/>
                <w:szCs w:val="20"/>
                <w:color w:val="auto"/>
              </w:rPr>
            </w:pPr>
            <w:r>
              <w:rPr>
                <w:rFonts w:ascii="Arial" w:cs="Arial" w:eastAsia="Arial" w:hAnsi="Arial"/>
                <w:sz w:val="16"/>
                <w:szCs w:val="16"/>
                <w:color w:val="auto"/>
              </w:rPr>
              <w:t>Title:</w:t>
            </w:r>
          </w:p>
        </w:tc>
        <w:tc>
          <w:tcPr>
            <w:tcW w:w="442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Reports First Quarter 2025 Results, Affirms and Narrows 2025 Guidance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Release Highlights</w:t>
      </w:r>
    </w:p>
    <w:p>
      <w:pPr>
        <w:spacing w:after="0" w:line="181"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First quarter GAAP Net Income (Loss) Attributable to Stockholders of $(135) million.</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First quarter Adjusted EBITDA of $200 million and Adjusted Free Cash Flow of $87 million, ahead of internal estimates.</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Affirming and narrowing 2025 guidance; 2026 outlook unchanged.</w:t>
      </w:r>
    </w:p>
    <w:p>
      <w:pPr>
        <w:spacing w:after="0" w:line="167" w:lineRule="exact"/>
        <w:rPr>
          <w:rFonts w:ascii="Arial" w:cs="Arial" w:eastAsia="Arial" w:hAnsi="Arial"/>
          <w:sz w:val="16"/>
          <w:szCs w:val="16"/>
          <w:color w:val="auto"/>
        </w:rPr>
      </w:pPr>
    </w:p>
    <w:p>
      <w:pPr>
        <w:ind w:left="660" w:right="400" w:hanging="328"/>
        <w:spacing w:after="0" w:line="286" w:lineRule="auto"/>
        <w:tabs>
          <w:tab w:leader="none" w:pos="65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Extended the Susquehanna Unit 2 refueling outage to perform incremental maintenance that is expected to improve capacity performance and efficiency.</w:t>
      </w:r>
    </w:p>
    <w:p>
      <w:pPr>
        <w:spacing w:after="0" w:line="115" w:lineRule="exact"/>
        <w:rPr>
          <w:rFonts w:ascii="Arial" w:cs="Arial" w:eastAsia="Arial" w:hAnsi="Arial"/>
          <w:sz w:val="16"/>
          <w:szCs w:val="16"/>
          <w:color w:val="auto"/>
        </w:rPr>
      </w:pPr>
    </w:p>
    <w:p>
      <w:pPr>
        <w:ind w:left="660" w:right="260" w:hanging="328"/>
        <w:spacing w:after="0" w:line="286" w:lineRule="auto"/>
        <w:tabs>
          <w:tab w:leader="none" w:pos="65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Federal Energy Regulatory Commission (the “FERC”) approved the terms of the reliability-must-run (“RMR”) settlement agreement between Talen, PJM, and key stakeholders to run units at Brandon Shores and H.A. Wagner generation facilities through May 31, 2029.</w:t>
      </w:r>
    </w:p>
    <w:p>
      <w:pPr>
        <w:spacing w:after="0" w:line="11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HOUSTON, May 8, 2025 </w:t>
      </w:r>
      <w:r>
        <w:rPr>
          <w:rFonts w:ascii="Arial" w:cs="Arial" w:eastAsia="Arial" w:hAnsi="Arial"/>
          <w:sz w:val="16"/>
          <w:szCs w:val="16"/>
          <w:color w:val="auto"/>
        </w:rPr>
        <w:t>– Talen Energy Corporation (“Talen,” the “Company,” “we,” or “our”) (NASDAQ: TLN), an independent power producer dedicated to</w:t>
      </w:r>
      <w:r>
        <w:rPr>
          <w:rFonts w:ascii="Arial" w:cs="Arial" w:eastAsia="Arial" w:hAnsi="Arial"/>
          <w:sz w:val="16"/>
          <w:szCs w:val="16"/>
          <w:b w:val="1"/>
          <w:bCs w:val="1"/>
          <w:color w:val="auto"/>
        </w:rPr>
        <w:t xml:space="preserve"> </w:t>
      </w:r>
      <w:r>
        <w:rPr>
          <w:rFonts w:ascii="Arial" w:cs="Arial" w:eastAsia="Arial" w:hAnsi="Arial"/>
          <w:sz w:val="16"/>
          <w:szCs w:val="16"/>
          <w:color w:val="auto"/>
        </w:rPr>
        <w:t>powering the future, today reported its first quarter 2025 financial and operating results.</w:t>
      </w:r>
    </w:p>
    <w:p>
      <w:pPr>
        <w:spacing w:after="0" w:line="10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are pleased today to report Talen’s solid start to the year. Our fleet ran well during periods of high demand demonstrating the value of our dispatchable fleet, earning $200 million of Adjusted EBITDA and $87 million of Adjusted Free Cash Flow. We are affirming and narrowing guidance. We remain committed to shareholders and continued to repurchase stock during the first quarter under our share repurchase program,” said Talen President and Chief Executive Officer Mac McFarland.</w:t>
      </w:r>
    </w:p>
    <w:p>
      <w:pPr>
        <w:spacing w:after="0" w:line="13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McFarland continued, “The FERC approved our RMR settlement agreement, ensuring the units at our Brandon Shores and H.A. Wagner assets continue to support the grid in and around Baltimore. The AWS campus is energized and we are actively executing under this arrangement. We continue to pursue commercial and regulatory solutions for the Susquehanna ISA amendment.”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and Operating Results (Unaudited)</w:t>
      </w:r>
    </w:p>
    <w:p>
      <w:pPr>
        <w:spacing w:after="0" w:line="212"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Three Months Ended March 31,</w:t>
      </w:r>
    </w:p>
    <w:p>
      <w:pPr>
        <w:sectPr>
          <w:pgSz w:w="11900" w:h="16838" w:orient="portrait"/>
          <w:cols w:equalWidth="0" w:num="1">
            <w:col w:w="11240"/>
          </w:cols>
          <w:pgMar w:left="320" w:top="125" w:right="339" w:bottom="1440" w:gutter="0" w:footer="0" w:header="0"/>
        </w:sectPr>
      </w:pPr>
    </w:p>
    <w:p>
      <w:pPr>
        <w:spacing w:after="0" w:line="9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(Millions of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Net Income (Loss) Attributable to Stockholders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2658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Free Cash Flow</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Total Generation (TWh) </w:t>
      </w:r>
      <w:r>
        <w:rPr>
          <w:rFonts w:ascii="Arial" w:cs="Arial" w:eastAsia="Arial" w:hAnsi="Arial"/>
          <w:sz w:val="9"/>
          <w:szCs w:val="9"/>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2658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Carbon-Free Generation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OSHA TRIR </w:t>
      </w:r>
      <w:r>
        <w:rPr>
          <w:rFonts w:ascii="Arial" w:cs="Arial" w:eastAsia="Arial" w:hAnsi="Arial"/>
          <w:sz w:val="9"/>
          <w:szCs w:val="9"/>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2658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Fleet EFOF </w:t>
      </w:r>
      <w:r>
        <w:rPr>
          <w:rFonts w:ascii="Arial" w:cs="Arial" w:eastAsia="Arial" w:hAnsi="Arial"/>
          <w:sz w:val="9"/>
          <w:szCs w:val="9"/>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8691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r>
        <w:trPr>
          <w:trHeight w:val="189"/>
        </w:trPr>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294</w:t>
            </w:r>
          </w:p>
        </w:tc>
      </w:tr>
      <w:tr>
        <w:trPr>
          <w:trHeight w:val="203"/>
        </w:trPr>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203"/>
        </w:trPr>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202"/>
        </w:trPr>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30"/>
        </w:trPr>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3"/>
        </w:trPr>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7"/>
        </w:trPr>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bl>
    <w:p>
      <w:pPr>
        <w:spacing w:after="0" w:line="77" w:lineRule="exact"/>
        <w:rPr>
          <w:sz w:val="20"/>
          <w:szCs w:val="20"/>
          <w:color w:val="auto"/>
        </w:rPr>
      </w:pPr>
    </w:p>
    <w:p>
      <w:pPr>
        <w:sectPr>
          <w:pgSz w:w="11900" w:h="16838" w:orient="portrait"/>
          <w:cols w:equalWidth="0" w:num="2">
            <w:col w:w="7060" w:space="720"/>
            <w:col w:w="3460"/>
          </w:cols>
          <w:pgMar w:left="320" w:top="125" w:right="339" w:bottom="1440" w:gutter="0" w:footer="0" w:header="0"/>
          <w:type w:val="continuous"/>
        </w:sect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40" w:right="180" w:hanging="332"/>
        <w:spacing w:after="0" w:line="242" w:lineRule="auto"/>
        <w:tabs>
          <w:tab w:leader="none" w:pos="332" w:val="left"/>
        </w:tabs>
        <w:numPr>
          <w:ilvl w:val="0"/>
          <w:numId w:val="3"/>
        </w:numPr>
        <w:rPr>
          <w:rFonts w:ascii="Arial" w:cs="Arial" w:eastAsia="Arial" w:hAnsi="Arial"/>
          <w:sz w:val="13"/>
          <w:szCs w:val="13"/>
          <w:color w:val="auto"/>
        </w:rPr>
      </w:pPr>
      <w:r>
        <w:rPr>
          <w:rFonts w:ascii="Arial" w:cs="Arial" w:eastAsia="Arial" w:hAnsi="Arial"/>
          <w:sz w:val="13"/>
          <w:szCs w:val="13"/>
          <w:color w:val="auto"/>
        </w:rPr>
        <w:t>Total generation is net of station use consumption, where applicable, includes volumes produced by Susquehanna in support of Nautilus operations and includes generation from ERCOT assets for the three months ended March 31, 2024.</w:t>
      </w:r>
    </w:p>
    <w:p>
      <w:pPr>
        <w:spacing w:after="0" w:line="1" w:lineRule="exact"/>
        <w:rPr>
          <w:rFonts w:ascii="Arial" w:cs="Arial" w:eastAsia="Arial" w:hAnsi="Arial"/>
          <w:sz w:val="13"/>
          <w:szCs w:val="13"/>
          <w:color w:val="auto"/>
        </w:rPr>
      </w:pPr>
    </w:p>
    <w:p>
      <w:pPr>
        <w:ind w:left="340" w:right="160" w:hanging="332"/>
        <w:spacing w:after="0" w:line="244" w:lineRule="auto"/>
        <w:tabs>
          <w:tab w:leader="none" w:pos="332" w:val="left"/>
        </w:tabs>
        <w:numPr>
          <w:ilvl w:val="0"/>
          <w:numId w:val="3"/>
        </w:numPr>
        <w:rPr>
          <w:rFonts w:ascii="Arial" w:cs="Arial" w:eastAsia="Arial" w:hAnsi="Arial"/>
          <w:sz w:val="13"/>
          <w:szCs w:val="13"/>
          <w:color w:val="auto"/>
        </w:rPr>
      </w:pPr>
      <w:r>
        <w:rPr>
          <w:rFonts w:ascii="Arial" w:cs="Arial" w:eastAsia="Arial" w:hAnsi="Arial"/>
          <w:sz w:val="13"/>
          <w:szCs w:val="13"/>
          <w:color w:val="auto"/>
        </w:rPr>
        <w:t>OSHA Total Recordable Incident Rate (“OSHA TRIR”) is the number of recordable incidents x 200,000 / total number of manhours worked. Only includes Talen-operated generation facilities (i.e., excludes Conemaugh and Keystone).</w:t>
      </w:r>
    </w:p>
    <w:p>
      <w:pPr>
        <w:spacing w:after="0" w:line="1" w:lineRule="exact"/>
        <w:rPr>
          <w:rFonts w:ascii="Arial" w:cs="Arial" w:eastAsia="Arial" w:hAnsi="Arial"/>
          <w:sz w:val="13"/>
          <w:szCs w:val="13"/>
          <w:color w:val="auto"/>
        </w:rPr>
      </w:pPr>
    </w:p>
    <w:p>
      <w:pPr>
        <w:ind w:left="340" w:right="340" w:hanging="332"/>
        <w:spacing w:after="0" w:line="245" w:lineRule="auto"/>
        <w:tabs>
          <w:tab w:leader="none" w:pos="338" w:val="left"/>
        </w:tabs>
        <w:numPr>
          <w:ilvl w:val="0"/>
          <w:numId w:val="3"/>
        </w:numPr>
        <w:rPr>
          <w:rFonts w:ascii="Arial" w:cs="Arial" w:eastAsia="Arial" w:hAnsi="Arial"/>
          <w:sz w:val="13"/>
          <w:szCs w:val="13"/>
          <w:color w:val="auto"/>
        </w:rPr>
      </w:pPr>
      <w:r>
        <w:rPr>
          <w:rFonts w:ascii="Arial" w:cs="Arial" w:eastAsia="Arial" w:hAnsi="Arial"/>
          <w:sz w:val="13"/>
          <w:szCs w:val="13"/>
          <w:color w:val="auto"/>
        </w:rPr>
        <w:t>Fleet Equivalent Forced Outage Factor (“Fleet EFOF”) is the percentage of a given period in which a generating unit is not available due to forced outages and forced de-rates. Represents all generation facilities, including our portion of partially-owned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line="265" w:lineRule="auto"/>
        <w:rPr>
          <w:sz w:val="20"/>
          <w:szCs w:val="20"/>
          <w:color w:val="auto"/>
        </w:rPr>
      </w:pPr>
      <w:r>
        <w:rPr>
          <w:rFonts w:ascii="Arial" w:cs="Arial" w:eastAsia="Arial" w:hAnsi="Arial"/>
          <w:sz w:val="16"/>
          <w:szCs w:val="16"/>
          <w:color w:val="auto"/>
        </w:rPr>
        <w:t>For the quarter ended March 31, 2025, we reported GAAP Net Income (Loss) Attributable to Stockholders of $(135) million, Adjusted EBITDA of $200 million and Adjusted Free Cash Flow of $87 million. GAAP Net Income (Loss) Attributable to Stockholders decreased $(429) million compared to prior year, primarily due to the absence of the gain on the sale of the AWS Data Campus, unrealized losses in the nuclear facility decommission trust, and lower realized hedge gains due to higher settled PJM West Hub on-peak prices as a result of colder than normal weather. The decrease in Adjusted EBITDA of $(89) million and Adjusted Free Cash Flow of $(107) million compared to first quarter 2024 was primarily due to lower realized hedge gains.</w:t>
      </w:r>
    </w:p>
    <w:p>
      <w:pPr>
        <w:spacing w:after="0" w:line="11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generation fleet continued to run reliably and safely, with a Fleet EFOF of 1.2% and an OSHA TRIR of 0.4. Total generation was 9.7 TWh, with 46% contributed from carbon-free nuclear generation at our Susquehanna nuclear facility. Also, our PJM gas-fired assets were dispatched more frequently during times of peak load than they were in 2024.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Affirming and Narrowing 2025 Guidance; 2026 Outlook Unchanged</w:t>
      </w:r>
    </w:p>
    <w:p>
      <w:pPr>
        <w:sectPr>
          <w:pgSz w:w="11900" w:h="16838" w:orient="portrait"/>
          <w:cols w:equalWidth="0" w:num="1">
            <w:col w:w="11220"/>
          </w:cols>
          <w:pgMar w:left="320" w:top="1421" w:right="359"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EBITDA</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464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2025E</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$975 - $1,125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$450 - $540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23495</wp:posOffset>
            </wp:positionV>
            <wp:extent cx="12255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160"/>
          </w:cols>
          <w:pgMar w:left="320" w:top="1421" w:right="35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Susquehanna Refueling Outage</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On March 25, 2025, Susquehanna commenced its planned refueling outage on Unit 2. During the outage, we identified incremental maintenance in the non-nuclear portion of the Unit which we expect will lead to operational efficiency. As a prudent operator, we have elected to complete this scope of work while Unit 2 is already in outage and market prices and demand are relatively low. The incremental maintenance investment is expected to add roughly $20 million of additional spend and extend the outage into mid-May. We anticipate the resulting improvements in operational efficiency of Unit 2 will be long-term in nature and pay back the additional costs and lost margin in approximately one-and-a-half-years.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RMR Arrangement</w:t>
      </w:r>
    </w:p>
    <w:p>
      <w:pPr>
        <w:spacing w:after="0" w:line="16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On May 1, 2025, the FERC approved the terms under which Talen will operate the units at its Brandon Shores and H.A. Wagner generation facilities until May 31, 2029, beyond their scheduled May 31, 2025 retirement dates. Talen, PJM, and a broad coalition of the Maryland Public Service Commission, Maryland customers, and electric utilities reached agreement in January 2025 on the “reliability-must-run” or “RMR” agreement. Under the RMR agreement, Brandon Shores Units 1 and 2 and H.A. Wagner Units 3 and 4 will remain in service and provide power necessary to maintain grid and transmission reliability in and around the City of Baltimore until transmission upgrades to provide reliable power to the area from other sources are complete. Beginning June 1, 2025, we expect to receive $145 million annually for Brandon Shores and $35 million for H.A. Wagner with some performance incentives.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181"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Since the start of 2024, we have repurchased approximately 14 million shares, or 23% of our outstanding shares, for a total of approximately $2 billion, with $995 million remaining under our share repurchase program through year-end 2026. During the first quarter 2025, we repurchased 452,130 shares of stock for a total of $83 million. All share repurchase amounts exclude transaction costs.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Liquidity</w:t>
      </w:r>
    </w:p>
    <w:p>
      <w:pPr>
        <w:spacing w:after="0" w:line="167"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We are focused on maintaining net leverage below our target of 3.5x net debt-to-Adjusted EBITDA, along with ample liquidity. As of May 2, 2025, we had total available liquidity of approximately $970 million, comprised of $270 million of unrestricted cash and $700 million of available capacity under the revolving credit facility. Our projected net leverage ratio, utilizing the 2025E Adjusted EBITDA midpoint and net debt balance as of May 2, 2025, is approximately 2.6x.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421"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auto"/>
        </w:rPr>
        <w:t>Update on Hedging Activities</w:t>
      </w:r>
    </w:p>
    <w:p>
      <w:pPr>
        <w:spacing w:after="0" w:line="16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As of March 31, 2025, including the impact of the Nuclear PTC, we had hedged approximately 95% of our expected generation volumes for 2025, 60% for 2026 and 30% for 2027. The Company’s hedging program is a key component of our comprehensive risk policy and supports the objective of increasing cash flow stability while maintaining upside optionality.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Call</w:t>
      </w:r>
    </w:p>
    <w:p>
      <w:pPr>
        <w:spacing w:after="0" w:line="167"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Company will hold an earnings call on Thursday, May 8, 2025, at 9:00 a.m. EDT (8:00 a.m. CDT). To listen to the earnings call, please register in advance for the webcast here. For participants joining the call via phone, please register here prior to the start time to receive dial-in information. For those unable to participate in the live event, a digital replay of the earnings call will be archived for approximately one year and available on Talen’s Investor Relations website at https://ir.talenenergy.com/news-events/events.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Talen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Talen Energy (NASDAQ: TLN) is a leading independent power producer and energy infrastructure company dedicated to powering the future. We own and operate approximately 10.7 gigawatts of power infrastructure in the United States, including 2.2 gigawatts of nuclear power and a significant dispatchable fossil fleet. We produce and sell electricity, capacity, and ancillary services into wholesale U.S. power markets, with our generation fleet principally located in the Mid-Atlantic and Montana. Our team is committed to generating power safely and reliably and delivering the most value per megawatt produced. Talen is also powering the digital infrastructure revolution. We are well-positioned to capture this significant growth opportunity, as data centers serving artificial intelligence increasingly demand more reliable, clean power. Talen is headquartered in Houston, Texas. For more information, visit https://www.talenenergy.com/.</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Investor Relations: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Sergio Castro</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Vice President &amp; Treasurer</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0A2299"/>
        </w:rPr>
        <w:t>InvestorRelations@talenenergy.com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Media: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Taryne Williams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Director, Corporate Communications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0A2299"/>
        </w:rPr>
        <w:t>Taryne.Williams@talenenergy.com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capital expenditures, earnings, litigation, regulatory matters, hedging, liquidity and capital resources and accounting matters. 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1421" w:right="379" w:bottom="1440" w:gutter="0" w:footer="0" w:header="0"/>
        </w:sectPr>
      </w:pPr>
    </w:p>
    <w:bookmarkStart w:id="6" w:name="page7"/>
    <w:bookmarkEnd w:id="6"/>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226"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r>
      <w:tr>
        <w:trPr>
          <w:trHeight w:val="19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Energy and other revenues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572</w:t>
            </w:r>
          </w:p>
        </w:tc>
      </w:tr>
      <w:tr>
        <w:trPr>
          <w:trHeight w:val="203"/>
        </w:trPr>
        <w:tc>
          <w:tcPr>
            <w:tcW w:w="79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(108)</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509</w:t>
            </w:r>
          </w:p>
        </w:tc>
      </w:tr>
      <w:tr>
        <w:trPr>
          <w:trHeight w:val="56"/>
        </w:trPr>
        <w:tc>
          <w:tcPr>
            <w:tcW w:w="7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03"/>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3"/>
        </w:trPr>
        <w:tc>
          <w:tcPr>
            <w:tcW w:w="79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(27)</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(212)</w:t>
            </w:r>
          </w:p>
        </w:tc>
      </w:tr>
      <w:tr>
        <w:trPr>
          <w:trHeight w:val="97"/>
        </w:trPr>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03"/>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3"/>
        </w:trPr>
        <w:tc>
          <w:tcPr>
            <w:tcW w:w="79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03"/>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324</w:t>
            </w:r>
          </w:p>
        </w:tc>
      </w:tr>
      <w:tr>
        <w:trPr>
          <w:trHeight w:val="19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00"/>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(187)</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388</w:t>
            </w:r>
          </w:p>
        </w:tc>
      </w:tr>
      <w:tr>
        <w:trPr>
          <w:trHeight w:val="19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200"/>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319</w:t>
            </w:r>
          </w:p>
        </w:tc>
      </w:tr>
      <w:tr>
        <w:trPr>
          <w:trHeight w:val="19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19"/>
        </w:trPr>
        <w:tc>
          <w:tcPr>
            <w:tcW w:w="79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tcBorders>
              <w:bottom w:val="single" w:sz="8" w:color="E1E1E2"/>
            </w:tcBorders>
            <w:shd w:val="clear" w:color="auto" w:fill="E1E1E2"/>
          </w:tcPr>
          <w:p>
            <w:pPr>
              <w:spacing w:after="0"/>
              <w:rPr>
                <w:sz w:val="19"/>
                <w:szCs w:val="19"/>
                <w:color w:val="auto"/>
              </w:rPr>
            </w:pPr>
          </w:p>
        </w:tc>
        <w:tc>
          <w:tcPr>
            <w:tcW w:w="360" w:type="dxa"/>
            <w:vAlign w:val="bottom"/>
            <w:tcBorders>
              <w:bottom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tcBorders>
              <w:bottom w:val="single" w:sz="8" w:color="E1E1E2"/>
            </w:tcBorders>
            <w:shd w:val="clear" w:color="auto" w:fill="E1E1E2"/>
          </w:tcPr>
          <w:p>
            <w:pPr>
              <w:spacing w:after="0"/>
              <w:rPr>
                <w:sz w:val="19"/>
                <w:szCs w:val="19"/>
                <w:color w:val="auto"/>
              </w:rPr>
            </w:pPr>
          </w:p>
        </w:tc>
        <w:tc>
          <w:tcPr>
            <w:tcW w:w="360" w:type="dxa"/>
            <w:vAlign w:val="bottom"/>
            <w:tcBorders>
              <w:bottom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294</w:t>
            </w: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Common Share</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 Attributable to Stockholders - Basic</w:t>
            </w: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5.00</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Stockholders - Diluted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4.84</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Weighted-Average Number of Common Shares Outstanding - Basic (in thousands)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45,849</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58,807</w:t>
            </w:r>
          </w:p>
        </w:tc>
      </w:tr>
      <w:tr>
        <w:trPr>
          <w:trHeight w:val="19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Number of Common Shares Outstanding - Diluted (in thousands)</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45,849</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60,716</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r>
        <w:trPr>
          <w:trHeight w:val="196"/>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spacing w:after="0"/>
              <w:rPr>
                <w:sz w:val="17"/>
                <w:szCs w:val="17"/>
                <w:color w:val="auto"/>
              </w:rPr>
            </w:pPr>
          </w:p>
        </w:tc>
      </w:tr>
      <w:tr>
        <w:trPr>
          <w:trHeight w:val="198"/>
        </w:trPr>
        <w:tc>
          <w:tcPr>
            <w:tcW w:w="778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328</w:t>
            </w:r>
          </w:p>
        </w:tc>
      </w:tr>
      <w:tr>
        <w:trPr>
          <w:trHeight w:val="207"/>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cash and cash equivalents</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37</w:t>
            </w:r>
          </w:p>
        </w:tc>
      </w:tr>
      <w:tr>
        <w:trPr>
          <w:trHeight w:val="198"/>
        </w:trPr>
        <w:tc>
          <w:tcPr>
            <w:tcW w:w="778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10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123</w:t>
            </w:r>
          </w:p>
        </w:tc>
      </w:tr>
      <w:tr>
        <w:trPr>
          <w:trHeight w:val="207"/>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302</w:t>
            </w:r>
          </w:p>
        </w:tc>
      </w:tr>
      <w:tr>
        <w:trPr>
          <w:trHeight w:val="198"/>
        </w:trPr>
        <w:tc>
          <w:tcPr>
            <w:tcW w:w="7780" w:type="dxa"/>
            <w:vAlign w:val="bottom"/>
            <w:gridSpan w:val="2"/>
          </w:tcPr>
          <w:p>
            <w:pPr>
              <w:ind w:left="20"/>
              <w:spacing w:after="0"/>
              <w:rPr>
                <w:sz w:val="20"/>
                <w:szCs w:val="20"/>
                <w:color w:val="auto"/>
              </w:rPr>
            </w:pPr>
            <w:r>
              <w:rPr>
                <w:rFonts w:ascii="Arial" w:cs="Arial" w:eastAsia="Arial" w:hAnsi="Arial"/>
                <w:sz w:val="14"/>
                <w:szCs w:val="14"/>
                <w:color w:val="auto"/>
              </w:rPr>
              <w:t>Derivative instruments</w:t>
            </w:r>
          </w:p>
        </w:tc>
        <w:tc>
          <w:tcPr>
            <w:tcW w:w="10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66</w:t>
            </w:r>
          </w:p>
        </w:tc>
      </w:tr>
      <w:tr>
        <w:trPr>
          <w:trHeight w:val="203"/>
        </w:trPr>
        <w:tc>
          <w:tcPr>
            <w:tcW w:w="76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184</w:t>
            </w:r>
          </w:p>
        </w:tc>
      </w:tr>
      <w:tr>
        <w:trPr>
          <w:trHeight w:val="19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846</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1,040</w:t>
            </w:r>
          </w:p>
        </w:tc>
      </w:tr>
      <w:tr>
        <w:trPr>
          <w:trHeight w:val="197"/>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net</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w w:val="96"/>
              </w:rPr>
              <w:t>3,138</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3,154</w:t>
            </w:r>
          </w:p>
        </w:tc>
      </w:tr>
      <w:tr>
        <w:trPr>
          <w:trHeight w:val="199"/>
        </w:trPr>
        <w:tc>
          <w:tcPr>
            <w:tcW w:w="778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w:t>
            </w:r>
          </w:p>
        </w:tc>
        <w:tc>
          <w:tcPr>
            <w:tcW w:w="10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1,717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1,724</w:t>
            </w:r>
          </w:p>
        </w:tc>
      </w:tr>
      <w:tr>
        <w:trPr>
          <w:trHeight w:val="206"/>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w:t>
            </w:r>
          </w:p>
        </w:tc>
      </w:tr>
      <w:tr>
        <w:trPr>
          <w:trHeight w:val="198"/>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w:t>
            </w:r>
          </w:p>
        </w:tc>
      </w:tr>
      <w:tr>
        <w:trPr>
          <w:trHeight w:val="219"/>
        </w:trPr>
        <w:tc>
          <w:tcPr>
            <w:tcW w:w="76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080" w:type="dxa"/>
            <w:vAlign w:val="bottom"/>
            <w:tcBorders>
              <w:bottom w:val="single" w:sz="8" w:color="auto"/>
            </w:tcBorders>
            <w:shd w:val="clear" w:color="auto" w:fill="E1E1E2"/>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w w:val="96"/>
              </w:rPr>
              <w:t>5,865</w:t>
            </w:r>
          </w:p>
        </w:tc>
        <w:tc>
          <w:tcPr>
            <w:tcW w:w="100" w:type="dxa"/>
            <w:vAlign w:val="bottom"/>
            <w:tcBorders>
              <w:bottom w:val="single" w:sz="8" w:color="E1E1E2"/>
            </w:tcBorders>
            <w:shd w:val="clear" w:color="auto" w:fill="E1E1E2"/>
          </w:tcPr>
          <w:p>
            <w:pPr>
              <w:spacing w:after="0"/>
              <w:rPr>
                <w:sz w:val="19"/>
                <w:szCs w:val="19"/>
                <w:color w:val="auto"/>
              </w:rPr>
            </w:pPr>
          </w:p>
        </w:tc>
        <w:tc>
          <w:tcPr>
            <w:tcW w:w="18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6,106</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4"/>
        </w:trPr>
        <w:tc>
          <w:tcPr>
            <w:tcW w:w="77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due within one year</w:t>
            </w:r>
          </w:p>
        </w:tc>
        <w:tc>
          <w:tcPr>
            <w:tcW w:w="1080" w:type="dxa"/>
            <w:vAlign w:val="bottom"/>
            <w:shd w:val="clear" w:color="auto" w:fill="E1E1E2"/>
          </w:tcPr>
          <w:p>
            <w:pPr>
              <w:jc w:val="right"/>
              <w:ind w:right="92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17</w:t>
            </w:r>
          </w:p>
        </w:tc>
      </w:tr>
      <w:tr>
        <w:trPr>
          <w:trHeight w:val="198"/>
        </w:trPr>
        <w:tc>
          <w:tcPr>
            <w:tcW w:w="778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10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18</w:t>
            </w:r>
          </w:p>
        </w:tc>
      </w:tr>
      <w:tr>
        <w:trPr>
          <w:trHeight w:val="207"/>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266</w:t>
            </w:r>
          </w:p>
        </w:tc>
      </w:tr>
      <w:tr>
        <w:trPr>
          <w:trHeight w:val="198"/>
        </w:trPr>
        <w:tc>
          <w:tcPr>
            <w:tcW w:w="7780" w:type="dxa"/>
            <w:vAlign w:val="bottom"/>
            <w:gridSpan w:val="2"/>
          </w:tcPr>
          <w:p>
            <w:pPr>
              <w:ind w:left="20"/>
              <w:spacing w:after="0"/>
              <w:rPr>
                <w:sz w:val="20"/>
                <w:szCs w:val="20"/>
                <w:color w:val="auto"/>
              </w:rPr>
            </w:pPr>
            <w:r>
              <w:rPr>
                <w:rFonts w:ascii="Arial" w:cs="Arial" w:eastAsia="Arial" w:hAnsi="Arial"/>
                <w:sz w:val="14"/>
                <w:szCs w:val="14"/>
                <w:color w:val="auto"/>
              </w:rPr>
              <w:t>Derivative instruments</w:t>
            </w:r>
          </w:p>
        </w:tc>
        <w:tc>
          <w:tcPr>
            <w:tcW w:w="10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2"/>
        </w:trPr>
        <w:tc>
          <w:tcPr>
            <w:tcW w:w="76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154</w:t>
            </w:r>
          </w:p>
        </w:tc>
      </w:tr>
      <w:tr>
        <w:trPr>
          <w:trHeight w:val="19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522</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455</w:t>
            </w:r>
          </w:p>
        </w:tc>
      </w:tr>
      <w:tr>
        <w:trPr>
          <w:trHeight w:val="197"/>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w w:val="96"/>
              </w:rPr>
              <w:t>2,975</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2,987</w:t>
            </w:r>
          </w:p>
        </w:tc>
      </w:tr>
      <w:tr>
        <w:trPr>
          <w:trHeight w:val="198"/>
        </w:trPr>
        <w:tc>
          <w:tcPr>
            <w:tcW w:w="7780" w:type="dxa"/>
            <w:vAlign w:val="bottom"/>
            <w:gridSpan w:val="2"/>
          </w:tcPr>
          <w:p>
            <w:pPr>
              <w:ind w:left="20"/>
              <w:spacing w:after="0"/>
              <w:rPr>
                <w:sz w:val="20"/>
                <w:szCs w:val="20"/>
                <w:color w:val="auto"/>
              </w:rPr>
            </w:pPr>
            <w:r>
              <w:rPr>
                <w:rFonts w:ascii="Arial" w:cs="Arial" w:eastAsia="Arial" w:hAnsi="Arial"/>
                <w:sz w:val="14"/>
                <w:szCs w:val="14"/>
                <w:color w:val="auto"/>
              </w:rPr>
              <w:t>Derivative instruments</w:t>
            </w:r>
          </w:p>
        </w:tc>
        <w:tc>
          <w:tcPr>
            <w:tcW w:w="10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w:t>
            </w:r>
          </w:p>
        </w:tc>
      </w:tr>
      <w:tr>
        <w:trPr>
          <w:trHeight w:val="207"/>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obligations</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305</w:t>
            </w:r>
          </w:p>
        </w:tc>
      </w:tr>
      <w:tr>
        <w:trPr>
          <w:trHeight w:val="198"/>
        </w:trPr>
        <w:tc>
          <w:tcPr>
            <w:tcW w:w="7780" w:type="dxa"/>
            <w:vAlign w:val="bottom"/>
            <w:gridSpan w:val="2"/>
          </w:tcPr>
          <w:p>
            <w:pPr>
              <w:ind w:left="20"/>
              <w:spacing w:after="0"/>
              <w:rPr>
                <w:sz w:val="20"/>
                <w:szCs w:val="20"/>
                <w:color w:val="auto"/>
              </w:rPr>
            </w:pPr>
            <w:r>
              <w:rPr>
                <w:rFonts w:ascii="Arial" w:cs="Arial" w:eastAsia="Arial" w:hAnsi="Arial"/>
                <w:sz w:val="14"/>
                <w:szCs w:val="14"/>
                <w:color w:val="auto"/>
              </w:rPr>
              <w:t>Asset retirement obligations and accrued environmental costs</w:t>
            </w:r>
          </w:p>
        </w:tc>
        <w:tc>
          <w:tcPr>
            <w:tcW w:w="10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468</w:t>
            </w:r>
          </w:p>
        </w:tc>
      </w:tr>
      <w:tr>
        <w:trPr>
          <w:trHeight w:val="207"/>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income taxes</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362</w:t>
            </w:r>
          </w:p>
        </w:tc>
      </w:tr>
      <w:tr>
        <w:trPr>
          <w:trHeight w:val="198"/>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w:t>
            </w:r>
          </w:p>
        </w:tc>
      </w:tr>
      <w:tr>
        <w:trPr>
          <w:trHeight w:val="219"/>
        </w:trPr>
        <w:tc>
          <w:tcPr>
            <w:tcW w:w="76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E1E1E2"/>
            </w:tcBorders>
            <w:shd w:val="clear" w:color="auto" w:fill="E1E1E2"/>
          </w:tcPr>
          <w:p>
            <w:pPr>
              <w:spacing w:after="0"/>
              <w:rPr>
                <w:sz w:val="19"/>
                <w:szCs w:val="19"/>
                <w:color w:val="auto"/>
              </w:rPr>
            </w:pPr>
          </w:p>
        </w:tc>
        <w:tc>
          <w:tcPr>
            <w:tcW w:w="1080" w:type="dxa"/>
            <w:vAlign w:val="bottom"/>
            <w:tcBorders>
              <w:bottom w:val="single" w:sz="8" w:color="auto"/>
            </w:tcBorders>
            <w:shd w:val="clear" w:color="auto" w:fill="E1E1E2"/>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w w:val="96"/>
              </w:rPr>
              <w:t>4,685</w:t>
            </w:r>
          </w:p>
        </w:tc>
        <w:tc>
          <w:tcPr>
            <w:tcW w:w="100" w:type="dxa"/>
            <w:vAlign w:val="bottom"/>
            <w:tcBorders>
              <w:bottom w:val="single" w:sz="8" w:color="E1E1E2"/>
            </w:tcBorders>
            <w:shd w:val="clear" w:color="auto" w:fill="E1E1E2"/>
          </w:tcPr>
          <w:p>
            <w:pPr>
              <w:spacing w:after="0"/>
              <w:rPr>
                <w:sz w:val="19"/>
                <w:szCs w:val="19"/>
                <w:color w:val="auto"/>
              </w:rPr>
            </w:pPr>
          </w:p>
        </w:tc>
        <w:tc>
          <w:tcPr>
            <w:tcW w:w="18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4,719</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5"/>
        </w:trPr>
        <w:tc>
          <w:tcPr>
            <w:tcW w:w="77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56"/>
        </w:trPr>
        <w:tc>
          <w:tcPr>
            <w:tcW w:w="7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03"/>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spacing w:after="0"/>
              <w:rPr>
                <w:sz w:val="17"/>
                <w:szCs w:val="17"/>
                <w:color w:val="auto"/>
              </w:rPr>
            </w:pPr>
          </w:p>
        </w:tc>
      </w:tr>
      <w:tr>
        <w:trPr>
          <w:trHeight w:val="203"/>
        </w:trPr>
        <w:tc>
          <w:tcPr>
            <w:tcW w:w="77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Common stock ($0.001 par value, 350,000,000 shares authorized) </w:t>
            </w:r>
            <w:r>
              <w:rPr>
                <w:rFonts w:ascii="Arial" w:cs="Arial" w:eastAsia="Arial" w:hAnsi="Arial"/>
                <w:sz w:val="18"/>
                <w:szCs w:val="18"/>
                <w:color w:val="auto"/>
                <w:vertAlign w:val="superscript"/>
              </w:rPr>
              <w:t>(a)</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Additional paid-in capital</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w w:val="96"/>
              </w:rPr>
              <w:t>1,718</w:t>
            </w:r>
          </w:p>
        </w:tc>
        <w:tc>
          <w:tcPr>
            <w:tcW w:w="10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1,725</w:t>
            </w:r>
          </w:p>
        </w:tc>
      </w:tr>
      <w:tr>
        <w:trPr>
          <w:trHeight w:val="198"/>
        </w:trPr>
        <w:tc>
          <w:tcPr>
            <w:tcW w:w="7780" w:type="dxa"/>
            <w:vAlign w:val="bottom"/>
            <w:gridSpan w:val="2"/>
          </w:tcPr>
          <w:p>
            <w:pPr>
              <w:ind w:left="20"/>
              <w:spacing w:after="0"/>
              <w:rPr>
                <w:sz w:val="20"/>
                <w:szCs w:val="20"/>
                <w:color w:val="auto"/>
              </w:rPr>
            </w:pPr>
            <w:r>
              <w:rPr>
                <w:rFonts w:ascii="Arial" w:cs="Arial" w:eastAsia="Arial" w:hAnsi="Arial"/>
                <w:sz w:val="14"/>
                <w:szCs w:val="14"/>
                <w:color w:val="auto"/>
              </w:rPr>
              <w:t>Accumulated retained earnings (deficit)</w:t>
            </w:r>
          </w:p>
        </w:tc>
        <w:tc>
          <w:tcPr>
            <w:tcW w:w="10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203"/>
        </w:trPr>
        <w:tc>
          <w:tcPr>
            <w:tcW w:w="76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auto"/>
            </w:tcBorders>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1,180</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1,387</w:t>
            </w:r>
          </w:p>
        </w:tc>
      </w:tr>
      <w:tr>
        <w:trPr>
          <w:trHeight w:val="216"/>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080" w:type="dxa"/>
            <w:vAlign w:val="bottom"/>
            <w:shd w:val="clear" w:color="auto" w:fill="E1E1E2"/>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w w:val="96"/>
              </w:rPr>
              <w:t>5,865</w:t>
            </w:r>
          </w:p>
        </w:tc>
        <w:tc>
          <w:tcPr>
            <w:tcW w:w="100" w:type="dxa"/>
            <w:vAlign w:val="bottom"/>
            <w:shd w:val="clear" w:color="auto" w:fill="E1E1E2"/>
          </w:tcPr>
          <w:p>
            <w:pPr>
              <w:spacing w:after="0"/>
              <w:rPr>
                <w:sz w:val="18"/>
                <w:szCs w:val="18"/>
                <w:color w:val="auto"/>
              </w:rPr>
            </w:pPr>
          </w:p>
        </w:tc>
        <w:tc>
          <w:tcPr>
            <w:tcW w:w="18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6,106</w:t>
            </w:r>
          </w:p>
        </w:tc>
      </w:tr>
      <w:tr>
        <w:trPr>
          <w:trHeight w:val="20"/>
        </w:trPr>
        <w:tc>
          <w:tcPr>
            <w:tcW w:w="7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45,509,780 and 45,961,910 shares issued and outstanding as of March 31, 2025 and December 31, 2024, respectively.</w:t>
      </w: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920"/>
          </w:cols>
          <w:pgMar w:left="320" w:top="1440" w:right="659" w:bottom="1440" w:gutter="0" w:footer="0" w:header="0"/>
          <w:type w:val="continuous"/>
        </w:sectPr>
      </w:pPr>
    </w:p>
    <w:bookmarkStart w:id="8" w:name="page9"/>
    <w:bookmarkEnd w:id="8"/>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226"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r>
      <w:tr>
        <w:trPr>
          <w:trHeight w:val="19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reconciliation adjustments: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Unrealized (gains) losses on derivative instruments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amortization</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 (excluding interest and fees)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AWS Data Campus Sale</w:t>
            </w:r>
          </w:p>
        </w:tc>
        <w:tc>
          <w:tcPr>
            <w:tcW w:w="36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(324)</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Changes in assets and liabilities: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89</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(154)</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Collateral received (posted), net</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173</w:t>
            </w:r>
          </w:p>
        </w:tc>
      </w:tr>
      <w:tr>
        <w:trPr>
          <w:trHeight w:val="20"/>
        </w:trPr>
        <w:tc>
          <w:tcPr>
            <w:tcW w:w="7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1E1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1E1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investment purchases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(564)</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investment sale proceeds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553</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Nuclear fuel expenditures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expenditures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Proceeds from AWS Data Campus Sale</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339</w:t>
            </w:r>
          </w:p>
        </w:tc>
      </w:tr>
      <w:tr>
        <w:trPr>
          <w:trHeight w:val="203"/>
        </w:trPr>
        <w:tc>
          <w:tcPr>
            <w:tcW w:w="79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w:t>
            </w:r>
          </w:p>
        </w:tc>
      </w:tr>
      <w:tr>
        <w:trPr>
          <w:trHeight w:val="19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financing costs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Debt repayments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Cumulus Digital TLF repayment</w:t>
            </w:r>
          </w:p>
        </w:tc>
        <w:tc>
          <w:tcPr>
            <w:tcW w:w="360" w:type="dxa"/>
            <w:vAlign w:val="bottom"/>
            <w:shd w:val="clear" w:color="auto" w:fill="E1E1E2"/>
          </w:tcPr>
          <w:p>
            <w:pPr>
              <w:spacing w:after="0"/>
              <w:rPr>
                <w:sz w:val="17"/>
                <w:szCs w:val="17"/>
                <w:color w:val="auto"/>
              </w:rPr>
            </w:pPr>
          </w:p>
        </w:tc>
        <w:tc>
          <w:tcPr>
            <w:tcW w:w="13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(182)</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Repurchase of noncontrolling interest</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3"/>
        </w:trPr>
        <w:tc>
          <w:tcPr>
            <w:tcW w:w="79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w:t>
            </w:r>
          </w:p>
        </w:tc>
      </w:tr>
      <w:tr>
        <w:trPr>
          <w:trHeight w:val="22"/>
        </w:trPr>
        <w:tc>
          <w:tcPr>
            <w:tcW w:w="7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5"/>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 and restricted cash and cash equivalents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179</w:t>
            </w:r>
          </w:p>
        </w:tc>
      </w:tr>
      <w:tr>
        <w:trPr>
          <w:trHeight w:val="203"/>
        </w:trPr>
        <w:tc>
          <w:tcPr>
            <w:tcW w:w="79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Beginning of period cash and cash equivalents and restricted cash and cash equivalents</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365</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901</w:t>
            </w:r>
          </w:p>
        </w:tc>
      </w:tr>
      <w:tr>
        <w:trPr>
          <w:trHeight w:val="196"/>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End of period cash and cash equivalents and restricted cash and 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1,080</w:t>
            </w:r>
          </w:p>
        </w:tc>
      </w:tr>
      <w:tr>
        <w:trPr>
          <w:trHeight w:val="22"/>
        </w:trPr>
        <w:tc>
          <w:tcPr>
            <w:tcW w:w="7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Non-GAAP Financial Measures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Adjusted EBITDA and Adjusted Free Cash Flow, which we use as measures of our performance and liquidity, are not financial measures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measures, but to also consider them along with their most directly comparable GAAP financial measures. Non-GAAP measures have limitations as analytical tools and should not be considered in isolation or as a substitute for analyzing our results as reported under GAAP.</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w:t>
      </w:r>
    </w:p>
    <w:p>
      <w:pPr>
        <w:spacing w:after="0" w:line="16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nuclear facility decommissioning trust (“NDT”); (viii) gains and losses on asset sales, dispositions, and asset retirement; (ix) impairments, obsolescence, and net realizable value charges; (x) interest expense; (xi) income taxes; (xii) legal settlements, liquidated damages, and contractual terminations;</w:t>
      </w:r>
    </w:p>
    <w:p>
      <w:pPr>
        <w:spacing w:after="0" w:line="2" w:lineRule="exact"/>
        <w:rPr>
          <w:sz w:val="20"/>
          <w:szCs w:val="20"/>
          <w:color w:val="auto"/>
        </w:rPr>
      </w:pPr>
    </w:p>
    <w:p>
      <w:pPr>
        <w:ind w:right="60" w:firstLine="8"/>
        <w:spacing w:after="0" w:line="258" w:lineRule="auto"/>
        <w:tabs>
          <w:tab w:leader="none" w:pos="342"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credit facility and associated cash flow sweep.</w:t>
      </w:r>
    </w:p>
    <w:p>
      <w:pPr>
        <w:spacing w:after="0" w:line="138"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Free Cash Flow</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Adjusted Free Cash Flow is utilized by our chief operating decision makers to evaluate cash flow activities. Adjusted Free Cash Flow is computed as Adjusted EBITDA reduced by capital expenditures (including nuclear fuel but excluding development, growth, and (or) conversion capital expenditures), cash payments for interest and finance charges, cash payments for income taxes (excluding income taxes paid from the NDT, taxes paid or deductions taken as a result of strategic asset sales, and benefits of the Nuclear PTC utilized to reduce income taxes paid), and pension contributions.</w:t>
      </w:r>
    </w:p>
    <w:p>
      <w:pPr>
        <w:spacing w:after="0" w:line="11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believe Adjusted Free Cash Flow is useful to investors and other users of our financial statements in evaluating our operating performance because it provides them with an additional tool to determine a company’s ability to meet future obligations and to compare business performance across companies and across periods. Adjusted Free Cash Flow is widely used by investors to measure a company’s levered cash flow without regard to items such as ARO settlements; nonrecurring development, growth and conversion expenditures; and cash proceeds or payments for the sale or purchase of assets, which can vary substantially from company to company and from period to period depending upon accounting methods, book value of assets, capital structure, and the method by which assets were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20"/>
          </w:cols>
          <w:pgMar w:left="320" w:top="1421"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Adjusted EBITDA / Adjusted Free Cash Flow Reconciliation</w:t>
      </w:r>
    </w:p>
    <w:p>
      <w:pPr>
        <w:spacing w:after="0" w:line="165"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following table presents a reconciliation of the GAAP financial measure of “Net Income (Loss)” presented on the Consolidated Statements of Operations to the non-GAAP financial measures of Adjusted EBITDA and Adjusted Free Cash Flow:</w:t>
      </w:r>
    </w:p>
    <w:p>
      <w:pPr>
        <w:spacing w:after="0" w:line="133"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r>
      <w:tr>
        <w:trPr>
          <w:trHeight w:val="193"/>
        </w:trPr>
        <w:tc>
          <w:tcPr>
            <w:tcW w:w="79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E1E1E2"/>
          </w:tcPr>
          <w:p>
            <w:pPr>
              <w:spacing w:after="0"/>
              <w:rPr>
                <w:sz w:val="16"/>
                <w:szCs w:val="16"/>
                <w:color w:val="auto"/>
              </w:rPr>
            </w:pPr>
          </w:p>
        </w:tc>
        <w:tc>
          <w:tcPr>
            <w:tcW w:w="360" w:type="dxa"/>
            <w:vAlign w:val="bottom"/>
            <w:tcBorders>
              <w:bottom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E1E1E2"/>
          </w:tcPr>
          <w:p>
            <w:pPr>
              <w:spacing w:after="0"/>
              <w:rPr>
                <w:sz w:val="16"/>
                <w:szCs w:val="16"/>
                <w:color w:val="auto"/>
              </w:rPr>
            </w:pPr>
          </w:p>
        </w:tc>
        <w:tc>
          <w:tcPr>
            <w:tcW w:w="360" w:type="dxa"/>
            <w:vAlign w:val="bottom"/>
            <w:tcBorders>
              <w:bottom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319</w:t>
            </w:r>
          </w:p>
        </w:tc>
      </w:tr>
      <w:tr>
        <w:trPr>
          <w:trHeight w:val="199"/>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134</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and other long-term incentive compensation expense</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r>
      <w:tr>
        <w:trPr>
          <w:trHeight w:val="203"/>
        </w:trPr>
        <w:tc>
          <w:tcPr>
            <w:tcW w:w="80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(Gain) loss on asset sales, net </w:t>
            </w:r>
            <w:r>
              <w:rPr>
                <w:rFonts w:ascii="Arial" w:cs="Arial" w:eastAsia="Arial" w:hAnsi="Arial"/>
                <w:sz w:val="18"/>
                <w:szCs w:val="18"/>
                <w:color w:val="auto"/>
                <w:vertAlign w:val="superscript"/>
              </w:rPr>
              <w:t>(a)</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(324)</w:t>
            </w:r>
          </w:p>
        </w:tc>
      </w:tr>
      <w:tr>
        <w:trPr>
          <w:trHeight w:val="203"/>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Operational and other restructuring activities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3"/>
        </w:trPr>
        <w:tc>
          <w:tcPr>
            <w:tcW w:w="79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Adjusted EBITDA</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w:t>
            </w:r>
          </w:p>
        </w:tc>
      </w:tr>
      <w:tr>
        <w:trPr>
          <w:trHeight w:val="21"/>
        </w:trPr>
        <w:tc>
          <w:tcPr>
            <w:tcW w:w="7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3"/>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Capital expenditures, net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07"/>
        </w:trPr>
        <w:tc>
          <w:tcPr>
            <w:tcW w:w="80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and finance charge payments</w:t>
            </w: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r>
      <w:tr>
        <w:trPr>
          <w:trHeight w:val="198"/>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Income taxes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9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Pension contributions</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Adjusted Free Cash Flow</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194</w:t>
            </w:r>
          </w:p>
        </w:tc>
      </w:tr>
      <w:tr>
        <w:trPr>
          <w:trHeight w:val="22"/>
        </w:trPr>
        <w:tc>
          <w:tcPr>
            <w:tcW w:w="7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See Note 18 to the Q1 2025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42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Adjusted EBITDA / Adjusted Free Cash Flow Reconciliation: 2025 Guidance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2025E</w:t>
            </w:r>
          </w:p>
        </w:tc>
        <w:tc>
          <w:tcPr>
            <w:tcW w:w="1140" w:type="dxa"/>
            <w:vAlign w:val="bottom"/>
            <w:tcBorders>
              <w:bottom w:val="single" w:sz="8" w:color="auto"/>
            </w:tcBorders>
          </w:tcPr>
          <w:p>
            <w:pPr>
              <w:spacing w:after="0"/>
              <w:rPr>
                <w:sz w:val="17"/>
                <w:szCs w:val="17"/>
                <w:color w:val="auto"/>
              </w:rPr>
            </w:pPr>
          </w:p>
        </w:tc>
      </w:tr>
      <w:tr>
        <w:trPr>
          <w:trHeight w:val="211"/>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7"/>
              <w:spacing w:after="0"/>
              <w:rPr>
                <w:sz w:val="20"/>
                <w:szCs w:val="20"/>
                <w:color w:val="auto"/>
              </w:rPr>
            </w:pPr>
            <w:r>
              <w:rPr>
                <w:rFonts w:ascii="Arial" w:cs="Arial" w:eastAsia="Arial" w:hAnsi="Arial"/>
                <w:sz w:val="16"/>
                <w:szCs w:val="16"/>
                <w:b w:val="1"/>
                <w:bCs w:val="1"/>
                <w:color w:val="auto"/>
              </w:rPr>
              <w:t>Low</w:t>
            </w:r>
          </w:p>
        </w:tc>
        <w:tc>
          <w:tcPr>
            <w:tcW w:w="100" w:type="dxa"/>
            <w:vAlign w:val="bottom"/>
            <w:tcBorders>
              <w:bottom w:val="single" w:sz="8" w:color="E1E1E2"/>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rPr>
              <w:t>High</w:t>
            </w:r>
          </w:p>
        </w:tc>
      </w:tr>
      <w:tr>
        <w:trPr>
          <w:trHeight w:val="192"/>
        </w:trPr>
        <w:tc>
          <w:tcPr>
            <w:tcW w:w="80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E1E1E2"/>
          </w:tcPr>
          <w:p>
            <w:pPr>
              <w:spacing w:after="0"/>
              <w:rPr>
                <w:sz w:val="16"/>
                <w:szCs w:val="16"/>
                <w:color w:val="auto"/>
              </w:rPr>
            </w:pPr>
          </w:p>
        </w:tc>
        <w:tc>
          <w:tcPr>
            <w:tcW w:w="360" w:type="dxa"/>
            <w:vAlign w:val="bottom"/>
            <w:tcBorders>
              <w:bottom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E1E1E2"/>
          </w:tcPr>
          <w:p>
            <w:pPr>
              <w:spacing w:after="0"/>
              <w:rPr>
                <w:sz w:val="16"/>
                <w:szCs w:val="16"/>
                <w:color w:val="auto"/>
              </w:rPr>
            </w:pPr>
          </w:p>
        </w:tc>
        <w:tc>
          <w:tcPr>
            <w:tcW w:w="360" w:type="dxa"/>
            <w:vAlign w:val="bottom"/>
            <w:tcBorders>
              <w:bottom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325</w:t>
            </w:r>
          </w:p>
        </w:tc>
      </w:tr>
      <w:tr>
        <w:trPr>
          <w:trHeight w:val="290"/>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Adjustments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3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245</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3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295</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03"/>
        </w:trPr>
        <w:tc>
          <w:tcPr>
            <w:tcW w:w="80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75</w:t>
            </w:r>
          </w:p>
        </w:tc>
      </w:tr>
      <w:tr>
        <w:trPr>
          <w:trHeight w:val="199"/>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975</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1,125</w:t>
            </w:r>
          </w:p>
        </w:tc>
      </w:tr>
      <w:tr>
        <w:trPr>
          <w:trHeight w:val="89"/>
        </w:trPr>
        <w:tc>
          <w:tcPr>
            <w:tcW w:w="80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r>
      <w:tr>
        <w:trPr>
          <w:trHeight w:val="203"/>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 net</w:t>
            </w: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(210)</w:t>
            </w:r>
          </w:p>
        </w:tc>
      </w:tr>
      <w:tr>
        <w:trPr>
          <w:trHeight w:val="19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Interest and finance charge payments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07"/>
        </w:trPr>
        <w:tc>
          <w:tcPr>
            <w:tcW w:w="8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taxes</w:t>
            </w:r>
          </w:p>
        </w:tc>
        <w:tc>
          <w:tcPr>
            <w:tcW w:w="3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(80)</w:t>
            </w:r>
          </w:p>
        </w:tc>
      </w:tr>
      <w:tr>
        <w:trPr>
          <w:trHeight w:val="198"/>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Pension contributions</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199"/>
        </w:trPr>
        <w:tc>
          <w:tcPr>
            <w:tcW w:w="80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Adjusted Free Cash Flow</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450</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540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Note: Figures are rounded to the nearest $5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240"/>
      </w:cols>
      <w:pgMar w:left="320" w:top="14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Roman"/>
      <w:start w:val="1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2025-05-08T06:14:42Z</dcterms:created>
  <dcterms:modified xsi:type="dcterms:W3CDTF">2025-05-08T06:14:42Z</dcterms:modified>
</cp:coreProperties>
</file>