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February 27,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57" w:type="dxa"/>
        <w:jc w:val="center"/>
        <w:tblInd w:w="0" w:type="dxa"/>
        <w:tblLayout w:type="fixed"/>
        <w:tblCellMar>
          <w:top w:w="28" w:type="dxa"/>
          <w:left w:w="28" w:type="dxa"/>
          <w:bottom w:w="28" w:type="dxa"/>
          <w:right w:w="28" w:type="dxa"/>
        </w:tblCellMar>
      </w:tblPr>
      <w:tblGrid>
        <w:gridCol w:w="916"/>
        <w:gridCol w:w="804"/>
        <w:gridCol w:w="815"/>
        <w:gridCol w:w="109"/>
        <w:gridCol w:w="109"/>
        <w:gridCol w:w="109"/>
        <w:gridCol w:w="762"/>
        <w:gridCol w:w="762"/>
        <w:gridCol w:w="770"/>
        <w:gridCol w:w="109"/>
        <w:gridCol w:w="109"/>
        <w:gridCol w:w="109"/>
        <w:gridCol w:w="459"/>
        <w:gridCol w:w="459"/>
        <w:gridCol w:w="656"/>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47-1197305</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9982" w:type="dxa"/>
        <w:jc w:val="center"/>
        <w:tblInd w:w="0" w:type="dxa"/>
        <w:tblLayout w:type="fixed"/>
        <w:tblCellMar>
          <w:top w:w="28" w:type="dxa"/>
          <w:left w:w="28" w:type="dxa"/>
          <w:bottom w:w="28" w:type="dxa"/>
          <w:right w:w="28" w:type="dxa"/>
        </w:tblCellMar>
      </w:tblPr>
      <w:tblGrid>
        <w:gridCol w:w="1313"/>
        <w:gridCol w:w="1153"/>
        <w:gridCol w:w="1164"/>
        <w:gridCol w:w="109"/>
        <w:gridCol w:w="109"/>
        <w:gridCol w:w="109"/>
        <w:gridCol w:w="554"/>
        <w:gridCol w:w="554"/>
        <w:gridCol w:w="556"/>
        <w:gridCol w:w="109"/>
        <w:gridCol w:w="109"/>
        <w:gridCol w:w="109"/>
        <w:gridCol w:w="831"/>
        <w:gridCol w:w="831"/>
        <w:gridCol w:w="2372"/>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(17 CFR§230.405) or Rule 12b-2 of the Securities Exchange Act of 1934 (17 CFR §240.12b-2).</w:t>
      </w:r>
    </w:p>
    <w:p>
      <w:pPr>
        <w:pStyle w:val="TextBody"/>
        <w:bidi w:val="0"/>
        <w:spacing w:lineRule="auto" w:line="288" w:before="0" w:after="180"/>
        <w:jc w:val="left"/>
        <w:rPr/>
      </w:pPr>
      <w:r>
        <w:rPr>
          <w:rFonts w:ascii="Arial;sans-serif" w:hAnsi="Arial;sans-serif"/>
          <w:b w:val="false"/>
          <w:color w:val="000000"/>
          <w:sz w:val="18"/>
        </w:rPr>
        <w:t xml:space="preserve">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February 27, 2025, Talen Energy Corporation (“Talen”) announced via press release its full year 2024 financial and operating results. A copy of the earnings release is furnished as Exhibit 99.1 to this Current Report on Form 8-K (this “Report”).</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provided under this Item 2.02 and in Exhibit 99.1 to this Report is being furnished and shall not be deemed “filed” for the purpose of Section 18 of the Securities Exchange Act of 1934, as amended (the “Exchange Act”), or otherwise subject to the liabilities of that Section. The information under this Item 2.02 and in Exhibit 99.1 to this Report shall not be incorporated by reference into any registration statement or other document pursuant to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 Exhibits:</w:t>
      </w:r>
    </w:p>
    <w:tbl>
      <w:tblPr>
        <w:tblW w:w="9494" w:type="dxa"/>
        <w:jc w:val="left"/>
        <w:tblInd w:w="0" w:type="dxa"/>
        <w:tblLayout w:type="fixed"/>
        <w:tblCellMar>
          <w:top w:w="28" w:type="dxa"/>
          <w:left w:w="28" w:type="dxa"/>
          <w:bottom w:w="28" w:type="dxa"/>
          <w:right w:w="28" w:type="dxa"/>
        </w:tblCellMar>
      </w:tblPr>
      <w:tblGrid>
        <w:gridCol w:w="374"/>
        <w:gridCol w:w="330"/>
        <w:gridCol w:w="331"/>
        <w:gridCol w:w="2476"/>
        <w:gridCol w:w="2476"/>
        <w:gridCol w:w="350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Exhibit No.</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8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227q42024earningsrel.htm">
              <w:r>
                <w:rPr>
                  <w:rStyle w:val="InternetLink"/>
                  <w:rFonts w:ascii="Arial;sans-serif" w:hAnsi="Arial;sans-serif"/>
                  <w:b w:val="false"/>
                  <w:color w:val="0000FF"/>
                  <w:sz w:val="18"/>
                  <w:u w:val="single"/>
                </w:rPr>
                <w:t>Press Release dated February 27, 2025.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727" w:type="dxa"/>
        <w:jc w:val="right"/>
        <w:tblInd w:w="0" w:type="dxa"/>
        <w:tblLayout w:type="fixed"/>
        <w:tblCellMar>
          <w:top w:w="28" w:type="dxa"/>
          <w:left w:w="28" w:type="dxa"/>
          <w:bottom w:w="28" w:type="dxa"/>
          <w:right w:w="28" w:type="dxa"/>
        </w:tblCellMar>
      </w:tblPr>
      <w:tblGrid>
        <w:gridCol w:w="201"/>
        <w:gridCol w:w="176"/>
        <w:gridCol w:w="178"/>
        <w:gridCol w:w="534"/>
        <w:gridCol w:w="534"/>
        <w:gridCol w:w="536"/>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27, 2025</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/s/ Terry L. Nutt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Terry L. Nutt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val="false"/>
          <w:color w:val="000000"/>
          <w:sz w:val="18"/>
        </w:rPr>
      </w:pPr>
      <w:r>
        <w:rPr>
          <w:rFonts w:ascii="Arial;sans-serif" w:hAnsi="Arial;sans-serif"/>
          <w:b w:val="false"/>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Reports Full Year 2024 Results, Exceeds 2024 Guidance and Reaffirms 2025 Guidance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Release Highlights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Full year GAAP Net Income (Loss) Attributable to Stockholders of $998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Full year Adjusted EBITDA of $770 million and Adjusted Free Cash Flow of $283 million, exceeding the 2024 guidance midpoints.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Reaffirming 2025 guidance; 2026 outlook unchanged.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Reached reliability-must-run (“RMR”) settlement agreement with PJM and key stakeholders to run Brandon Shores and H.A. Wagner generation facilities through May 31, 2029.</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Repurchased approximately 13 million shares in 2024 (22% of total outstanding shares).</w:t>
      </w:r>
    </w:p>
    <w:p>
      <w:pPr>
        <w:pStyle w:val="TextBody"/>
        <w:bidi w:val="0"/>
        <w:spacing w:lineRule="auto" w:line="288" w:before="0" w:after="180"/>
        <w:jc w:val="left"/>
        <w:rPr/>
      </w:pPr>
      <w:r>
        <w:rPr>
          <w:rFonts w:ascii="Arial;sans-serif" w:hAnsi="Arial;sans-serif"/>
          <w:b/>
          <w:color w:val="000000"/>
          <w:sz w:val="18"/>
          <w:shd w:fill="FFFFFF" w:val="clear"/>
        </w:rPr>
        <w:t xml:space="preserve">HOUSTON, February 27, 2025 </w:t>
      </w:r>
      <w:r>
        <w:rPr>
          <w:color w:val="000000"/>
          <w:shd w:fill="FFFFFF" w:val="clear"/>
        </w:rPr>
        <w:t xml:space="preserve">– </w:t>
      </w:r>
      <w:r>
        <w:rPr>
          <w:rFonts w:ascii="Arial;sans-serif" w:hAnsi="Arial;sans-serif"/>
          <w:b w:val="false"/>
          <w:color w:val="000000"/>
          <w:sz w:val="18"/>
          <w:shd w:fill="FFFFFF" w:val="clear"/>
        </w:rPr>
        <w:t>Talen Energy Corporation (“Talen,” the “Company,” “we,” or “our”) (NASDAQ: TLN), an independent power producer dedicated to powering the future, today reported its full year 2024 financial and operating results.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 xml:space="preserve">Talen had an exciting year focused on unlocking value from existing assets. Our fleet ran well this year, earning $770 million of Adjusted EBITDA and $283 million of Adjusted Free Cash Flow. We sold our data center campus to AWS and announced a major agreement providing power directly to them, making Talen the first power company to do so. We are actively executing under this arrangement and pursuing commercial and regulatory solutions for the Susquehanna ISA amendment,” said Talen President and Chief Executive Officer Mac McFarland. </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We sold our ERCOT assets earlier in the year, realizing significant value that was largely returned to our shareholders, and in Q4, we reached a settlement with PJM and other stakeholders to continue running our Brandon Shores and H.A. Wagner generation facilities through May 2029, supporting grid reliability in Maryland.” McFarland continued. “We have simplified our capital structure and prioritized shareholder returns, repurchasing 22% of our outstanding shares this year. We remain focused on maximizing value and cash flow per share.”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Summary of Financial and Operating Results (Unaudited)</w:t>
      </w:r>
    </w:p>
    <w:tbl>
      <w:tblPr>
        <w:tblW w:w="6911" w:type="dxa"/>
        <w:jc w:val="left"/>
        <w:tblInd w:w="0" w:type="dxa"/>
        <w:tblLayout w:type="fixed"/>
        <w:tblCellMar>
          <w:top w:w="28" w:type="dxa"/>
          <w:left w:w="28" w:type="dxa"/>
          <w:bottom w:w="28" w:type="dxa"/>
          <w:right w:w="28" w:type="dxa"/>
        </w:tblCellMar>
      </w:tblPr>
      <w:tblGrid>
        <w:gridCol w:w="1452"/>
        <w:gridCol w:w="1277"/>
        <w:gridCol w:w="1290"/>
        <w:gridCol w:w="109"/>
        <w:gridCol w:w="109"/>
        <w:gridCol w:w="109"/>
        <w:gridCol w:w="751"/>
        <w:gridCol w:w="751"/>
        <w:gridCol w:w="1063"/>
      </w:tblGrid>
      <w:tr>
        <w:trPr/>
        <w:tc>
          <w:tcPr>
            <w:tcW w:w="14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r>
      <w:tr>
        <w:trPr/>
        <w:tc>
          <w:tcPr>
            <w:tcW w:w="40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w:t>
            </w:r>
          </w:p>
        </w:tc>
      </w:tr>
      <w:tr>
        <w:trPr/>
        <w:tc>
          <w:tcPr>
            <w:tcW w:w="401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r>
    </w:tbl>
    <w:tbl>
      <w:tblPr>
        <w:tblW w:w="8184"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579"/>
        <w:gridCol w:w="579"/>
        <w:gridCol w:w="1362"/>
        <w:gridCol w:w="109"/>
        <w:gridCol w:w="109"/>
        <w:gridCol w:w="109"/>
        <w:gridCol w:w="537"/>
        <w:gridCol w:w="537"/>
        <w:gridCol w:w="1491"/>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2023</w:t>
            </w:r>
          </w:p>
        </w:tc>
      </w:tr>
      <w:tr>
        <w:trPr/>
        <w:tc>
          <w:tcPr>
            <w:tcW w:w="20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Generation (TWh)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36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4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Carbon-Free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0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OSHA TRIR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0.34 </w:t>
            </w:r>
          </w:p>
        </w:tc>
        <w:tc>
          <w:tcPr>
            <w:tcW w:w="136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14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Fleet EFOF </w:t>
            </w:r>
            <w:r>
              <w:rPr>
                <w:rFonts w:ascii="Arial;sans-serif" w:hAnsi="Arial;sans-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3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(a)Total generation is net of station use consumption, where applicable, includes volumes produced by Susquehanna in support of Nautilus operations and includes generation from ERCOT assets through April 2024.</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(b)OSHA Total Recordable Incident Rate (“OSHA TRIR”) is the number of recordable incidents x 200,000 / total number of manhours worked. Only includes Talen-operated generation facilities (i.e., excludes Conemaugh and Keystone).</w:t>
      </w:r>
    </w:p>
    <w:p>
      <w:pPr>
        <w:pStyle w:val="TextBody"/>
        <w:bidi w:val="0"/>
        <w:spacing w:lineRule="auto" w:line="288"/>
        <w:ind w:left="0" w:right="0" w:hanging="360"/>
        <w:jc w:val="left"/>
        <w:rPr>
          <w:rFonts w:ascii="Arial;sans-serif" w:hAnsi="Arial;sans-serif"/>
          <w:b w:val="false"/>
          <w:color w:val="000000"/>
          <w:sz w:val="14"/>
        </w:rPr>
      </w:pPr>
      <w:r>
        <w:rPr>
          <w:rFonts w:ascii="Arial;sans-serif" w:hAnsi="Arial;sans-serif"/>
          <w:b w:val="false"/>
          <w:color w:val="000000"/>
          <w:sz w:val="14"/>
        </w:rPr>
        <w:t>(c)Fleet Equivalent Forced Outage Factor (“Fleet EFOF”) is the percentage of a given period in which a generating unit is not available due to forced outages and forced de-rates. Represents all generation facilities, including our portion of partially-owned facilities.</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year ended December 31, 2024, we reported GAAP Net Income (Loss) Attributable to Stockholders of $998 million, Adjusted EBITDA of $770 million and Adjusted Free Cash Flow of $283 million. 2024 Adjusted EBITDA and Adjusted Free Cash Flow exceeded the 2024 guidance midpoints of $765 million and $275 million, respectively.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Given the impacts of fresh start accounting and the implementation of the plan of reorganization in the second quarter 2023, our full year 2024 results are not comparable to 2023.</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Full year 2024 results were supported by strong operational performance across the generation fleet, the benefits from hedging activities, the impact of the Nuclear PTC, and disciplined cost management, despite the absence of earnings from the ERCOT generation portfolio that was sold in May 2024.</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generation fleet continued to run reliably and safely, with a Fleet EFOF of 2.2% and an OSHA TRIR of 0.34. Total generation was 36.3 TWh, with 50% contributed from carbon-free nuclear generation at our Susquehanna nuclear facility. Also, our PJM gas-fired assets were dispatched more frequently during times of peak load than they were in 2023.</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Reaffirming 2025 Guidance; 2026 Outlook Unchanged</w:t>
      </w:r>
    </w:p>
    <w:tbl>
      <w:tblPr>
        <w:tblW w:w="3660" w:type="dxa"/>
        <w:jc w:val="left"/>
        <w:tblInd w:w="0" w:type="dxa"/>
        <w:tblLayout w:type="fixed"/>
        <w:tblCellMar>
          <w:top w:w="28" w:type="dxa"/>
          <w:left w:w="28" w:type="dxa"/>
          <w:bottom w:w="28" w:type="dxa"/>
          <w:right w:w="28" w:type="dxa"/>
        </w:tblCellMar>
      </w:tblPr>
      <w:tblGrid>
        <w:gridCol w:w="897"/>
        <w:gridCol w:w="786"/>
        <w:gridCol w:w="792"/>
        <w:gridCol w:w="346"/>
        <w:gridCol w:w="346"/>
        <w:gridCol w:w="493"/>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(Millions of Dollars)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u w:val="single"/>
              </w:rPr>
            </w:pPr>
            <w:r>
              <w:rPr>
                <w:rFonts w:ascii="Arial;sans-serif" w:hAnsi="Arial;sans-serif"/>
                <w:b/>
                <w:color w:val="000000"/>
                <w:sz w:val="16"/>
                <w:u w:val="single"/>
              </w:rPr>
              <w:t>Range</w:t>
            </w:r>
          </w:p>
        </w:tc>
      </w:tr>
      <w:tr>
        <w:trPr/>
        <w:tc>
          <w:tcPr>
            <w:tcW w:w="24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2025E Adjusted EBITDA</w:t>
            </w:r>
          </w:p>
        </w:tc>
        <w:tc>
          <w:tcPr>
            <w:tcW w:w="118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$925 – $1,175</w:t>
            </w:r>
          </w:p>
        </w:tc>
      </w:tr>
      <w:tr>
        <w:trPr/>
        <w:tc>
          <w:tcPr>
            <w:tcW w:w="24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2025E Adjusted Free Cash Flow</w:t>
            </w:r>
          </w:p>
        </w:tc>
        <w:tc>
          <w:tcPr>
            <w:tcW w:w="11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$395 – $595</w:t>
            </w:r>
          </w:p>
        </w:tc>
      </w:tr>
    </w:tbl>
    <w:tbl>
      <w:tblPr>
        <w:tblW w:w="3794" w:type="dxa"/>
        <w:jc w:val="left"/>
        <w:tblInd w:w="0" w:type="dxa"/>
        <w:tblLayout w:type="fixed"/>
        <w:tblCellMar>
          <w:top w:w="28" w:type="dxa"/>
          <w:left w:w="28" w:type="dxa"/>
          <w:bottom w:w="28" w:type="dxa"/>
          <w:right w:w="28" w:type="dxa"/>
        </w:tblCellMar>
      </w:tblPr>
      <w:tblGrid>
        <w:gridCol w:w="897"/>
        <w:gridCol w:w="786"/>
        <w:gridCol w:w="792"/>
        <w:gridCol w:w="385"/>
        <w:gridCol w:w="385"/>
        <w:gridCol w:w="549"/>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(Millions of Dollars)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u w:val="single"/>
              </w:rPr>
            </w:pPr>
            <w:r>
              <w:rPr>
                <w:rFonts w:ascii="Arial;sans-serif" w:hAnsi="Arial;sans-serif"/>
                <w:b/>
                <w:color w:val="000000"/>
                <w:sz w:val="16"/>
                <w:u w:val="single"/>
              </w:rPr>
              <w:t>Range</w:t>
            </w:r>
          </w:p>
        </w:tc>
      </w:tr>
      <w:tr>
        <w:trPr/>
        <w:tc>
          <w:tcPr>
            <w:tcW w:w="24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2026E Adjusted EBITDA</w:t>
            </w:r>
          </w:p>
        </w:tc>
        <w:tc>
          <w:tcPr>
            <w:tcW w:w="13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$1,130 – $1,530</w:t>
            </w:r>
          </w:p>
        </w:tc>
      </w:tr>
      <w:tr>
        <w:trPr/>
        <w:tc>
          <w:tcPr>
            <w:tcW w:w="24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2026E Adjusted Free Cash Flow</w:t>
            </w:r>
          </w:p>
        </w:tc>
        <w:tc>
          <w:tcPr>
            <w:tcW w:w="13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$535 – $895</w:t>
            </w:r>
          </w:p>
        </w:tc>
      </w:tr>
    </w:tbl>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RMR Arrangements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December 2024, we reached an agreement with PJM, FERC staff, Maryland PSC and public utilities on the terms of RMR arrangements for our Brandon Shores and H.A. Wagner generation facilities. On January 27, 2025, we filed with FERC the resulting Joint Offers of Settlement regarding both facilities’ RMR Continuing Operations Rates Schedules, and they remain subject to FERC approval. If approved, the proposed RMR arrangements will extend the operating life of these facilities through May 31, 2029, or until such time as the necessary transmission upgrades are placed into service. Beginning June 1, 2025, we expect to receive $145 million annually for Brandon Shores and $35 million for H.A. Wagner with some performance incentives. Additionally, we expect to receive reimbursement for variable costs and approved project investments.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Update on Share Repurchase Program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Since the start of 2024, we have repurchased approximately 22% of our outstanding shares for a total of $1.95 billion, with $1.1 billion of remaining share repurchase program capacity through year-end 2026. During the fourth quarter 2024, we repurchased approximately 5 million shares of stock from our largest shareholder. All share repurchase amounts are excluding transaction costs.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Balance Sheet and Liquidity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focused on maintaining net leverage below our target of 3.5x net debt-to-Adjusted EBITDA, along with ample liquidity. As of February 21, 2025, we had total available liquidity of approximately $1.2 billion, comprised of $474 million of unrestricted cash and $700 million of available capacity under the revolving credit facility. Our current net leverage ratio, utilizing the 2024 Adjusted EBITDA and net debt balance as of February 21, 2025, is approximately 3.3x.</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Update on Hedging Activities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including the impact of the Nuclear PTC, we had hedged approximately 89% of our expected generation volumes for 2025 and 33% for 2026. The Company’s hedging program is a key component of our comprehensive risk policy and supports the objective of increasing cash flow stability while maintaining upside optionality.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an update on nuclear fuel supply activities, the nuclear fuel cycle is fully contracted through the 2027 fuel load, almost entirely contracted through 2028, and over 70% contracted through 2029. These percentages are based on total nuclear fuel costs across all phases and assume current market pricing for the portion not yet under contract.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Call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will hold an earnings call on Thursday, February 27, 2025, at 4:30 p.m. EST (3:30 p.m. CST). To listen to the earnings call, please register in advance for the webcast here. For participants joining the call via phone, please register here prior to the start time to receive dial-in information. For those unable to participate in the live event, a digital replay of the earnings call will be archived for approximately one year and available on Talen's Investor Relations website at https://ir.talenenergy.com/news-events/events.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(NASDAQ: TLN) is a leading independent power producer and energy infrastructure company dedicated to powering the future. We own and operate approximately 10.7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and Montana. Our team is committed to generating power safely and reliably and delivering the most value per megawatt produced. Talen is also powering the digital infrastructure revolution. We are well-positioned to capture this significant growth opportunity, as data centers serving artificial intelligence increasingly demand more reliable, clean power. Talen is headquartered in Houston, Texas. For more information, visit https://www.talenenergy.com/.</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Investor Relations:</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Ellen Liu</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Senior Director, Investor Relations</w:t>
      </w:r>
    </w:p>
    <w:p>
      <w:pPr>
        <w:pStyle w:val="TextBody"/>
        <w:bidi w:val="0"/>
        <w:spacing w:lineRule="auto" w:line="288" w:before="0" w:after="180"/>
        <w:jc w:val="left"/>
        <w:rPr>
          <w:rFonts w:ascii="Arial;sans-serif" w:hAnsi="Arial;sans-serif"/>
          <w:b w:val="false"/>
          <w:color w:val="0A2299"/>
          <w:sz w:val="18"/>
          <w:u w:val="single"/>
        </w:rPr>
      </w:pPr>
      <w:r>
        <w:rPr>
          <w:rFonts w:ascii="Arial;sans-serif" w:hAnsi="Arial;sans-serif"/>
          <w:b w:val="false"/>
          <w:color w:val="0A2299"/>
          <w:sz w:val="18"/>
          <w:u w:val="single"/>
        </w:rPr>
        <w:t>InvestorRelations@talenenergy.com</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Media:</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Taryne Williams</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Director, Corporate Communications</w:t>
      </w:r>
    </w:p>
    <w:p>
      <w:pPr>
        <w:pStyle w:val="TextBody"/>
        <w:bidi w:val="0"/>
        <w:spacing w:lineRule="auto" w:line="288" w:before="0" w:after="180"/>
        <w:jc w:val="left"/>
        <w:rPr>
          <w:rFonts w:ascii="Arial;sans-serif" w:hAnsi="Arial;sans-serif"/>
          <w:b w:val="false"/>
          <w:color w:val="0A2299"/>
          <w:sz w:val="18"/>
          <w:u w:val="single"/>
        </w:rPr>
      </w:pPr>
      <w:r>
        <w:rPr>
          <w:rFonts w:ascii="Arial;sans-serif" w:hAnsi="Arial;sans-serif"/>
          <w:b w:val="false"/>
          <w:color w:val="0A2299"/>
          <w:sz w:val="18"/>
          <w:u w:val="single"/>
        </w:rPr>
        <w:t>Taryne.Williams@talenenergy.com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Forward Looking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capital expenditures, earnings, litigation, regulatory matters, hedging, liquidity and capital resources and accounting matters.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CONSOLIDATED STATEMENTS OF OPERATIONS</w:t>
      </w:r>
    </w:p>
    <w:tbl>
      <w:tblPr>
        <w:tblW w:w="10205" w:type="dxa"/>
        <w:jc w:val="left"/>
        <w:tblInd w:w="0" w:type="dxa"/>
        <w:tblLayout w:type="fixed"/>
        <w:tblCellMar>
          <w:top w:w="28" w:type="dxa"/>
          <w:left w:w="28" w:type="dxa"/>
          <w:bottom w:w="28" w:type="dxa"/>
          <w:right w:w="28" w:type="dxa"/>
        </w:tblCellMar>
      </w:tblPr>
      <w:tblGrid>
        <w:gridCol w:w="1589"/>
        <w:gridCol w:w="916"/>
        <w:gridCol w:w="927"/>
        <w:gridCol w:w="109"/>
        <w:gridCol w:w="109"/>
        <w:gridCol w:w="109"/>
        <w:gridCol w:w="109"/>
        <w:gridCol w:w="109"/>
        <w:gridCol w:w="109"/>
        <w:gridCol w:w="109"/>
        <w:gridCol w:w="341"/>
        <w:gridCol w:w="967"/>
        <w:gridCol w:w="191"/>
        <w:gridCol w:w="109"/>
        <w:gridCol w:w="109"/>
        <w:gridCol w:w="109"/>
        <w:gridCol w:w="412"/>
        <w:gridCol w:w="980"/>
        <w:gridCol w:w="230"/>
        <w:gridCol w:w="109"/>
        <w:gridCol w:w="109"/>
        <w:gridCol w:w="109"/>
        <w:gridCol w:w="109"/>
        <w:gridCol w:w="109"/>
        <w:gridCol w:w="109"/>
        <w:gridCol w:w="432"/>
        <w:gridCol w:w="966"/>
        <w:gridCol w:w="243"/>
        <w:gridCol w:w="109"/>
        <w:gridCol w:w="158"/>
      </w:tblGrid>
      <w:tr>
        <w:trPr/>
        <w:tc>
          <w:tcPr>
            <w:tcW w:w="158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267" w:type="dxa"/>
            <w:gridSpan w:val="2"/>
            <w:tcBorders/>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(332)</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w:t>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w:t>
            </w:r>
            <w:r>
              <w:rPr>
                <w:color w:val="000000"/>
              </w:rPr>
              <w:t> </w:t>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54,254 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3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56,486 </w:t>
            </w:r>
          </w:p>
        </w:tc>
        <w:tc>
          <w:tcPr>
            <w:tcW w:w="1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59,399 </w:t>
            </w:r>
          </w:p>
        </w:tc>
        <w:tc>
          <w:tcPr>
            <w:tcW w:w="2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CONSOLIDATED BALANCE SHEETS</w:t>
      </w:r>
    </w:p>
    <w:tbl>
      <w:tblPr>
        <w:tblW w:w="8932" w:type="dxa"/>
        <w:jc w:val="left"/>
        <w:tblInd w:w="0" w:type="dxa"/>
        <w:tblLayout w:type="fixed"/>
        <w:tblCellMar>
          <w:top w:w="28" w:type="dxa"/>
          <w:left w:w="28" w:type="dxa"/>
          <w:bottom w:w="28" w:type="dxa"/>
          <w:right w:w="28" w:type="dxa"/>
        </w:tblCellMar>
      </w:tblPr>
      <w:tblGrid>
        <w:gridCol w:w="1836"/>
        <w:gridCol w:w="1615"/>
        <w:gridCol w:w="1633"/>
        <w:gridCol w:w="109"/>
        <w:gridCol w:w="109"/>
        <w:gridCol w:w="109"/>
        <w:gridCol w:w="351"/>
        <w:gridCol w:w="1026"/>
        <w:gridCol w:w="197"/>
        <w:gridCol w:w="109"/>
        <w:gridCol w:w="109"/>
        <w:gridCol w:w="109"/>
        <w:gridCol w:w="344"/>
        <w:gridCol w:w="1004"/>
        <w:gridCol w:w="272"/>
      </w:tblGrid>
      <w:tr>
        <w:trPr/>
        <w:tc>
          <w:tcPr>
            <w:tcW w:w="18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50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1,554</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7,121</w:t>
            </w:r>
            <w:r>
              <w:rPr>
                <w:color w:val="000000"/>
              </w:rPr>
              <w:t>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2,811 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4,587</w:t>
            </w:r>
            <w:r>
              <w:rPr>
                <w:color w:val="000000"/>
              </w:rPr>
              <w:t>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Common stock ($0.001 par value 350,000,000 shares authorized)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w:t>
            </w: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1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7,121</w:t>
            </w:r>
            <w:r>
              <w:rPr>
                <w:color w:val="000000"/>
              </w:rPr>
              <w:t> </w:t>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2"/>
        </w:rPr>
      </w:pPr>
      <w:r>
        <w:rPr>
          <w:rFonts w:ascii="Arial;sans-serif" w:hAnsi="Arial;sans-serif"/>
          <w:b w:val="false"/>
          <w:color w:val="000000"/>
          <w:sz w:val="12"/>
        </w:rPr>
        <w:t>(a)45,961,910 and 59,028,843 shares issued and outstanding as of December 31, 2024 (Successor) and December 31, 2023 (Successor), respectively.</w:t>
      </w:r>
    </w:p>
    <w:p>
      <w:pPr>
        <w:pStyle w:val="TextBody"/>
        <w:bidi w:val="0"/>
        <w:spacing w:before="0" w:after="180"/>
        <w:jc w:val="left"/>
        <w:rPr/>
      </w:pPr>
      <w:r>
        <w:rPr/>
      </w:r>
    </w:p>
    <w:p>
      <w:pPr>
        <w:pStyle w:val="TextBody"/>
        <w:bidi w:val="0"/>
        <w:spacing w:before="180" w:after="18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CONSOLIDATED STATEMENTS OF CASH FLOWS</w:t>
      </w:r>
    </w:p>
    <w:tbl>
      <w:tblPr>
        <w:tblW w:w="10205" w:type="dxa"/>
        <w:jc w:val="left"/>
        <w:tblInd w:w="0" w:type="dxa"/>
        <w:tblLayout w:type="fixed"/>
        <w:tblCellMar>
          <w:top w:w="28" w:type="dxa"/>
          <w:left w:w="28" w:type="dxa"/>
          <w:bottom w:w="28" w:type="dxa"/>
          <w:right w:w="28" w:type="dxa"/>
        </w:tblCellMar>
      </w:tblPr>
      <w:tblGrid>
        <w:gridCol w:w="1144"/>
        <w:gridCol w:w="936"/>
        <w:gridCol w:w="854"/>
        <w:gridCol w:w="109"/>
        <w:gridCol w:w="109"/>
        <w:gridCol w:w="109"/>
        <w:gridCol w:w="408"/>
        <w:gridCol w:w="1159"/>
        <w:gridCol w:w="229"/>
        <w:gridCol w:w="109"/>
        <w:gridCol w:w="109"/>
        <w:gridCol w:w="109"/>
        <w:gridCol w:w="533"/>
        <w:gridCol w:w="1147"/>
        <w:gridCol w:w="298"/>
        <w:gridCol w:w="109"/>
        <w:gridCol w:w="109"/>
        <w:gridCol w:w="109"/>
        <w:gridCol w:w="109"/>
        <w:gridCol w:w="109"/>
        <w:gridCol w:w="109"/>
        <w:gridCol w:w="516"/>
        <w:gridCol w:w="1112"/>
        <w:gridCol w:w="290"/>
        <w:gridCol w:w="109"/>
        <w:gridCol w:w="162"/>
      </w:tblGrid>
      <w:tr>
        <w:trPr/>
        <w:tc>
          <w:tcPr>
            <w:tcW w:w="114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271" w:type="dxa"/>
            <w:gridSpan w:val="2"/>
            <w:tcBorders/>
          </w:tcPr>
          <w:p>
            <w:pPr>
              <w:pStyle w:val="TableContents"/>
              <w:bidi w:val="0"/>
              <w:spacing w:before="0" w:after="283"/>
              <w:jc w:val="left"/>
              <w:rPr>
                <w:sz w:val="4"/>
                <w:szCs w:val="4"/>
              </w:rPr>
            </w:pPr>
            <w:r>
              <w:rPr>
                <w:sz w:val="4"/>
                <w:szCs w:val="4"/>
              </w:rPr>
            </w:r>
          </w:p>
        </w:tc>
      </w:tr>
      <w:tr>
        <w:trPr/>
        <w:tc>
          <w:tcPr>
            <w:tcW w:w="2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AWS Data Campus Sale and ERCOT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(gain) loss, net (excluding interest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sales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w:t>
            </w:r>
            <w:r>
              <w:rPr>
                <w:color w:val="000000"/>
              </w:rPr>
              <w:t>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investment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investment sale proceeds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2,263 </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AWS Data Campus Sale and ERCOT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investments in affiliates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9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w:t>
            </w:r>
            <w:r>
              <w:rPr>
                <w:color w:val="000000"/>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(157)</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CONSOLIDATED STATEMENTS OF CASH FLOWS</w:t>
      </w:r>
    </w:p>
    <w:tbl>
      <w:tblPr>
        <w:tblW w:w="10205" w:type="dxa"/>
        <w:jc w:val="left"/>
        <w:tblInd w:w="0" w:type="dxa"/>
        <w:tblLayout w:type="fixed"/>
        <w:tblCellMar>
          <w:top w:w="28" w:type="dxa"/>
          <w:left w:w="28" w:type="dxa"/>
          <w:bottom w:w="28" w:type="dxa"/>
          <w:right w:w="28" w:type="dxa"/>
        </w:tblCellMar>
      </w:tblPr>
      <w:tblGrid>
        <w:gridCol w:w="1504"/>
        <w:gridCol w:w="1147"/>
        <w:gridCol w:w="1102"/>
        <w:gridCol w:w="109"/>
        <w:gridCol w:w="109"/>
        <w:gridCol w:w="109"/>
        <w:gridCol w:w="405"/>
        <w:gridCol w:w="904"/>
        <w:gridCol w:w="226"/>
        <w:gridCol w:w="109"/>
        <w:gridCol w:w="109"/>
        <w:gridCol w:w="109"/>
        <w:gridCol w:w="440"/>
        <w:gridCol w:w="980"/>
        <w:gridCol w:w="245"/>
        <w:gridCol w:w="109"/>
        <w:gridCol w:w="109"/>
        <w:gridCol w:w="109"/>
        <w:gridCol w:w="109"/>
        <w:gridCol w:w="109"/>
        <w:gridCol w:w="109"/>
        <w:gridCol w:w="441"/>
        <w:gridCol w:w="986"/>
        <w:gridCol w:w="248"/>
        <w:gridCol w:w="109"/>
        <w:gridCol w:w="160"/>
      </w:tblGrid>
      <w:tr>
        <w:trPr/>
        <w:tc>
          <w:tcPr>
            <w:tcW w:w="15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269" w:type="dxa"/>
            <w:gridSpan w:val="2"/>
            <w:tcBorders/>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debt issuance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debt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TLF repayment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repurchase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LMBE-MC TLB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TLB-1 proceeds,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Repayment of prepetition secured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proceeds at Emergence, net of discount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make-whole premiums on prepetition secured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with financing elements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(539)</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753"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(536)</w:t>
            </w:r>
          </w:p>
        </w:tc>
        <w:tc>
          <w:tcPr>
            <w:tcW w:w="226" w:type="dxa"/>
            <w:tcBorders>
              <w:top w:val="doub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245" w:type="dxa"/>
            <w:tcBorders>
              <w:top w:val="doub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(234)</w:t>
            </w:r>
          </w:p>
        </w:tc>
        <w:tc>
          <w:tcPr>
            <w:tcW w:w="248" w:type="dxa"/>
            <w:tcBorders>
              <w:top w:val="doub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988</w:t>
            </w: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753"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2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2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w:t>
            </w:r>
            <w:r>
              <w:rPr>
                <w:color w:val="000000"/>
              </w:rPr>
              <w:t> </w:t>
            </w:r>
          </w:p>
        </w:tc>
        <w:tc>
          <w:tcPr>
            <w:tcW w:w="24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measures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Free Cash Flow</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taxes (excluding income taxes paid from the NDT, taxes paid or deductions taken as a result of strategic asset sales, and benefits of the Nuclear PTC utilized to reduce taxes paid), and pension contributions.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 / Adjusted Free Cash Flow Reconciliation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measures of “Net Income (Loss)” presented on the Consolidated Statements of Operations to the non-GAAP financial measures of Adjusted EBITDA and Adjusted Free Cash Flow:</w:t>
      </w:r>
    </w:p>
    <w:tbl>
      <w:tblPr>
        <w:tblW w:w="10205" w:type="dxa"/>
        <w:jc w:val="left"/>
        <w:tblInd w:w="0" w:type="dxa"/>
        <w:tblLayout w:type="fixed"/>
        <w:tblCellMar>
          <w:top w:w="28" w:type="dxa"/>
          <w:left w:w="28" w:type="dxa"/>
          <w:bottom w:w="28" w:type="dxa"/>
          <w:right w:w="28" w:type="dxa"/>
        </w:tblCellMar>
      </w:tblPr>
      <w:tblGrid>
        <w:gridCol w:w="1313"/>
        <w:gridCol w:w="997"/>
        <w:gridCol w:w="877"/>
        <w:gridCol w:w="109"/>
        <w:gridCol w:w="109"/>
        <w:gridCol w:w="109"/>
        <w:gridCol w:w="109"/>
        <w:gridCol w:w="109"/>
        <w:gridCol w:w="109"/>
        <w:gridCol w:w="109"/>
        <w:gridCol w:w="359"/>
        <w:gridCol w:w="1017"/>
        <w:gridCol w:w="201"/>
        <w:gridCol w:w="109"/>
        <w:gridCol w:w="109"/>
        <w:gridCol w:w="109"/>
        <w:gridCol w:w="453"/>
        <w:gridCol w:w="1010"/>
        <w:gridCol w:w="253"/>
        <w:gridCol w:w="109"/>
        <w:gridCol w:w="109"/>
        <w:gridCol w:w="109"/>
        <w:gridCol w:w="109"/>
        <w:gridCol w:w="109"/>
        <w:gridCol w:w="109"/>
        <w:gridCol w:w="451"/>
        <w:gridCol w:w="1008"/>
        <w:gridCol w:w="253"/>
        <w:gridCol w:w="109"/>
        <w:gridCol w:w="160"/>
      </w:tblGrid>
      <w:tr>
        <w:trPr/>
        <w:tc>
          <w:tcPr>
            <w:tcW w:w="131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269" w:type="dxa"/>
            <w:gridSpan w:val="2"/>
            <w:tcBorders/>
          </w:tcPr>
          <w:p>
            <w:pPr>
              <w:pStyle w:val="TableContents"/>
              <w:bidi w:val="0"/>
              <w:spacing w:before="0" w:after="283"/>
              <w:jc w:val="left"/>
              <w:rPr>
                <w:sz w:val="4"/>
                <w:szCs w:val="4"/>
              </w:rPr>
            </w:pPr>
            <w:r>
              <w:rPr>
                <w:sz w:val="4"/>
                <w:szCs w:val="4"/>
              </w:rPr>
            </w:r>
          </w:p>
        </w:tc>
      </w:tr>
      <w:tr>
        <w:trPr/>
        <w:tc>
          <w:tcPr>
            <w:tcW w:w="3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2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Reorganization (gain) loss,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loss on asset sales, net</w:t>
            </w:r>
            <w:r>
              <w:rPr>
                <w:color w:val="000000"/>
              </w:rPr>
              <w:t xml:space="preserv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impairments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settlements and litigation costs</w:t>
            </w:r>
            <w:r>
              <w:rPr>
                <w:color w:val="000000"/>
              </w:rPr>
              <w:t xml:space="preserve">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Unusual market events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defined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Operational and other restructuring activities</w:t>
            </w:r>
            <w:r>
              <w:rPr>
                <w:color w:val="000000"/>
              </w:rPr>
              <w:t xml:space="preserve"> </w:t>
            </w:r>
            <w:r>
              <w:rPr>
                <w:rFonts w:ascii="Arial;sans-serif" w:hAnsi="Arial;sans-serif"/>
                <w:b w:val="false"/>
                <w:color w:val="000000"/>
                <w:sz w:val="10"/>
              </w:rPr>
              <w:t>(e) (f)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88" w:before="0" w:after="20"/>
              <w:jc w:val="left"/>
              <w:rPr/>
            </w:pPr>
            <w:r>
              <w:rPr>
                <w:rFonts w:ascii="Arial;sans-serif" w:hAnsi="Arial;sans-serif"/>
                <w:b w:val="false"/>
                <w:color w:val="000000"/>
                <w:sz w:val="16"/>
              </w:rPr>
              <w:t xml:space="preserve">Non-cash inventory net realizable value, obsolescence, and other charges </w:t>
            </w:r>
            <w:r>
              <w:rPr>
                <w:rFonts w:ascii="Arial;sans-serif" w:hAnsi="Arial;sans-serif"/>
                <w:b w:val="false"/>
                <w:color w:val="000000"/>
                <w:sz w:val="10"/>
              </w:rPr>
              <w:t>(g)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w:t>
            </w: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w:t>
            </w: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w:t>
            </w: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w:t>
            </w: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Note 4 to the FY 2024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(b)See Note 20 to the FY 2024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(c)See Note 10 to the FY 2024 Financial Statements for additional information.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(d)See Note 12 to the FY 2024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(e)The year ended December 31, 2024 (Successor) primarily includes the effects of nonrecurring ERCOT hedge settlements that occurred after the ERCOT Sale and severance payments associated with cost reduction initiatives.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(f)The periods from May 18 through December 31, 2023 (Successor) and from January 1 through May 17, 2023 (Predecessor) include the effects of nonrecurring costs associated with exit from the Restructuring, severance costs associated with cost reduction initiatives, and nonrecurring post-Restructuring strategic initiative costs.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(g)See Note 8 to the FY 2024 Financial Statements for additional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 / Adjusted Free Cash Flow Reconciliation: 2025 Guidance</w:t>
      </w:r>
    </w:p>
    <w:tbl>
      <w:tblPr>
        <w:tblW w:w="6635" w:type="dxa"/>
        <w:jc w:val="left"/>
        <w:tblInd w:w="0" w:type="dxa"/>
        <w:tblLayout w:type="fixed"/>
        <w:tblCellMar>
          <w:top w:w="28" w:type="dxa"/>
          <w:left w:w="28" w:type="dxa"/>
          <w:bottom w:w="28" w:type="dxa"/>
          <w:right w:w="28" w:type="dxa"/>
        </w:tblCellMar>
      </w:tblPr>
      <w:tblGrid>
        <w:gridCol w:w="1537"/>
        <w:gridCol w:w="1354"/>
        <w:gridCol w:w="1368"/>
        <w:gridCol w:w="109"/>
        <w:gridCol w:w="109"/>
        <w:gridCol w:w="109"/>
        <w:gridCol w:w="196"/>
        <w:gridCol w:w="496"/>
        <w:gridCol w:w="109"/>
        <w:gridCol w:w="109"/>
        <w:gridCol w:w="109"/>
        <w:gridCol w:w="109"/>
        <w:gridCol w:w="196"/>
        <w:gridCol w:w="5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r>
      <w:tr>
        <w:trPr/>
        <w:tc>
          <w:tcPr>
            <w:tcW w:w="42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w:t>
            </w:r>
            <w:r>
              <w:rPr>
                <w:color w:val="000000"/>
              </w:rPr>
              <w:t>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ind w:left="0" w:right="0" w:hanging="360"/>
        <w:jc w:val="left"/>
        <w:rPr>
          <w:rFonts w:ascii="Arial;sans-serif" w:hAnsi="Arial;sans-serif"/>
          <w:b w:val="false"/>
          <w:color w:val="000000"/>
          <w:sz w:val="14"/>
        </w:rPr>
      </w:pPr>
      <w:r>
        <w:rPr>
          <w:rFonts w:ascii="Arial;sans-serif" w:hAnsi="Arial;sans-serif"/>
          <w:b w:val="false"/>
          <w:color w:val="000000"/>
          <w:sz w:val="14"/>
        </w:rPr>
        <w:t xml:space="preserve">Note: Figures are rounded to the nearest $5 million.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4240</Words>
  <Characters>24271</Characters>
  <CharactersWithSpaces>28018</CharactersWithSpaces>
  <Paragraphs>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